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21" w:rsidRDefault="002B1F21" w:rsidP="00C80D3F">
      <w:pPr>
        <w:rPr>
          <w:b/>
          <w:sz w:val="28"/>
          <w:szCs w:val="28"/>
        </w:rPr>
      </w:pPr>
      <w:r>
        <w:rPr>
          <w:noProof/>
          <w:lang w:eastAsia="en-AU"/>
        </w:rPr>
        <w:drawing>
          <wp:anchor distT="0" distB="0" distL="114300" distR="114300" simplePos="0" relativeHeight="251658240" behindDoc="0" locked="0" layoutInCell="1" allowOverlap="1">
            <wp:simplePos x="0" y="0"/>
            <wp:positionH relativeFrom="margin">
              <wp:posOffset>-152400</wp:posOffset>
            </wp:positionH>
            <wp:positionV relativeFrom="paragraph">
              <wp:posOffset>336550</wp:posOffset>
            </wp:positionV>
            <wp:extent cx="1554480" cy="7429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742950"/>
                    </a:xfrm>
                    <a:prstGeom prst="rect">
                      <a:avLst/>
                    </a:prstGeom>
                  </pic:spPr>
                </pic:pic>
              </a:graphicData>
            </a:graphic>
            <wp14:sizeRelH relativeFrom="page">
              <wp14:pctWidth>0</wp14:pctWidth>
            </wp14:sizeRelH>
            <wp14:sizeRelV relativeFrom="page">
              <wp14:pctHeight>0</wp14:pctHeight>
            </wp14:sizeRelV>
          </wp:anchor>
        </w:drawing>
      </w:r>
    </w:p>
    <w:p w:rsidR="002B1F21" w:rsidRDefault="002B1F21" w:rsidP="00C80D3F">
      <w:pPr>
        <w:rPr>
          <w:b/>
          <w:sz w:val="28"/>
          <w:szCs w:val="28"/>
        </w:rPr>
      </w:pPr>
    </w:p>
    <w:p w:rsidR="002B1F21" w:rsidRDefault="002B1F21" w:rsidP="00C80D3F">
      <w:pPr>
        <w:rPr>
          <w:b/>
          <w:sz w:val="28"/>
          <w:szCs w:val="28"/>
        </w:rPr>
      </w:pPr>
    </w:p>
    <w:p w:rsidR="002B1F21" w:rsidRDefault="002B1F21" w:rsidP="00C80D3F">
      <w:pPr>
        <w:rPr>
          <w:b/>
          <w:sz w:val="28"/>
          <w:szCs w:val="28"/>
        </w:rPr>
      </w:pPr>
    </w:p>
    <w:p w:rsidR="00711229" w:rsidRPr="002B1F21" w:rsidRDefault="002B1F21" w:rsidP="00C80D3F">
      <w:pPr>
        <w:rPr>
          <w:b/>
        </w:rPr>
      </w:pPr>
      <w:r w:rsidRPr="002B1F21">
        <w:rPr>
          <w:b/>
        </w:rPr>
        <w:t>Bayside Peninsula Child &amp; Family Alliance –</w:t>
      </w:r>
      <w:r>
        <w:rPr>
          <w:b/>
        </w:rPr>
        <w:t xml:space="preserve"> Flexible funding </w:t>
      </w:r>
      <w:r w:rsidRPr="002B1F21">
        <w:rPr>
          <w:b/>
        </w:rPr>
        <w:t xml:space="preserve"> </w:t>
      </w:r>
      <w:r>
        <w:rPr>
          <w:b/>
        </w:rPr>
        <w:t>(</w:t>
      </w:r>
      <w:r w:rsidRPr="002B1F21">
        <w:rPr>
          <w:b/>
        </w:rPr>
        <w:t>COVID provisions</w:t>
      </w:r>
      <w:r>
        <w:rPr>
          <w:b/>
        </w:rPr>
        <w:t>)</w:t>
      </w:r>
      <w:r w:rsidRPr="002B1F21">
        <w:rPr>
          <w:b/>
        </w:rPr>
        <w:t xml:space="preserve"> guidelines (Feb 2022) </w:t>
      </w:r>
    </w:p>
    <w:p w:rsidR="008E3E6C" w:rsidRPr="002B1F21" w:rsidRDefault="00A44693" w:rsidP="00B3039D">
      <w:pPr>
        <w:pStyle w:val="ListParagraph"/>
        <w:numPr>
          <w:ilvl w:val="0"/>
          <w:numId w:val="7"/>
        </w:numPr>
        <w:spacing w:line="276" w:lineRule="auto"/>
        <w:rPr>
          <w:b/>
          <w:color w:val="0095A3"/>
        </w:rPr>
      </w:pPr>
      <w:r w:rsidRPr="002B1F21">
        <w:rPr>
          <w:b/>
          <w:color w:val="0095A3"/>
        </w:rPr>
        <w:t>Information</w:t>
      </w:r>
    </w:p>
    <w:p w:rsidR="0064178B" w:rsidRPr="00797F85" w:rsidRDefault="00327D66" w:rsidP="00043389">
      <w:pPr>
        <w:pStyle w:val="DHHSbody"/>
        <w:spacing w:line="30" w:lineRule="atLeast"/>
        <w:rPr>
          <w:rFonts w:asciiTheme="minorHAnsi" w:hAnsiTheme="minorHAnsi" w:cstheme="minorHAnsi"/>
          <w:bCs/>
        </w:rPr>
      </w:pPr>
      <w:r>
        <w:rPr>
          <w:rFonts w:asciiTheme="minorHAnsi" w:hAnsiTheme="minorHAnsi" w:cstheme="minorHAnsi"/>
          <w:bCs/>
        </w:rPr>
        <w:t>Flexible Funding</w:t>
      </w:r>
      <w:r w:rsidR="0031525A">
        <w:rPr>
          <w:rFonts w:asciiTheme="minorHAnsi" w:hAnsiTheme="minorHAnsi" w:cstheme="minorHAnsi"/>
          <w:bCs/>
        </w:rPr>
        <w:t xml:space="preserve"> (FF)</w:t>
      </w:r>
      <w:r w:rsidR="00F76C49" w:rsidRPr="00797F85">
        <w:rPr>
          <w:rFonts w:asciiTheme="minorHAnsi" w:hAnsiTheme="minorHAnsi" w:cstheme="minorHAnsi"/>
          <w:bCs/>
        </w:rPr>
        <w:t xml:space="preserve"> is made available to Child and Family Services Alliances </w:t>
      </w:r>
      <w:r w:rsidR="0064178B" w:rsidRPr="00797F85">
        <w:rPr>
          <w:rFonts w:asciiTheme="minorHAnsi" w:hAnsiTheme="minorHAnsi" w:cstheme="minorHAnsi"/>
        </w:rPr>
        <w:t xml:space="preserve">by </w:t>
      </w:r>
      <w:r w:rsidR="0064178B" w:rsidRPr="00E96D35">
        <w:rPr>
          <w:rFonts w:asciiTheme="minorHAnsi" w:hAnsiTheme="minorHAnsi" w:cstheme="minorHAnsi"/>
        </w:rPr>
        <w:t xml:space="preserve">the Department of </w:t>
      </w:r>
      <w:r w:rsidR="00B03AF9" w:rsidRPr="00E96D35">
        <w:rPr>
          <w:rFonts w:asciiTheme="minorHAnsi" w:hAnsiTheme="minorHAnsi" w:cstheme="minorHAnsi"/>
        </w:rPr>
        <w:t>Families Fairness and Housing</w:t>
      </w:r>
      <w:r w:rsidR="00F76C49" w:rsidRPr="00E96D35">
        <w:rPr>
          <w:rFonts w:asciiTheme="minorHAnsi" w:hAnsiTheme="minorHAnsi" w:cstheme="minorHAnsi"/>
        </w:rPr>
        <w:t>.  T</w:t>
      </w:r>
      <w:r w:rsidR="00B03AF9" w:rsidRPr="00E96D35">
        <w:rPr>
          <w:rFonts w:asciiTheme="minorHAnsi" w:hAnsiTheme="minorHAnsi" w:cstheme="minorHAnsi"/>
        </w:rPr>
        <w:t>he funding is accessible to DFFH</w:t>
      </w:r>
      <w:r w:rsidR="00F76C49" w:rsidRPr="00E96D35">
        <w:rPr>
          <w:rFonts w:asciiTheme="minorHAnsi" w:hAnsiTheme="minorHAnsi" w:cstheme="minorHAnsi"/>
        </w:rPr>
        <w:t xml:space="preserve"> funded Child and </w:t>
      </w:r>
      <w:r w:rsidR="00F76C49" w:rsidRPr="00797F85">
        <w:rPr>
          <w:rFonts w:asciiTheme="minorHAnsi" w:hAnsiTheme="minorHAnsi" w:cstheme="minorHAnsi"/>
        </w:rPr>
        <w:t xml:space="preserve">Family Service Providers to support the delivery of </w:t>
      </w:r>
      <w:r w:rsidR="0064178B" w:rsidRPr="00797F85">
        <w:rPr>
          <w:rFonts w:asciiTheme="minorHAnsi" w:hAnsiTheme="minorHAnsi" w:cstheme="minorHAnsi"/>
          <w:bCs/>
        </w:rPr>
        <w:t>child and family services</w:t>
      </w:r>
      <w:r w:rsidR="00F76C49" w:rsidRPr="00797F85">
        <w:rPr>
          <w:rFonts w:asciiTheme="minorHAnsi" w:hAnsiTheme="minorHAnsi" w:cstheme="minorHAnsi"/>
          <w:bCs/>
        </w:rPr>
        <w:t xml:space="preserve"> within area</w:t>
      </w:r>
      <w:r w:rsidR="0064178B" w:rsidRPr="00797F85">
        <w:rPr>
          <w:rFonts w:asciiTheme="minorHAnsi" w:hAnsiTheme="minorHAnsi" w:cstheme="minorHAnsi"/>
        </w:rPr>
        <w:t>. </w:t>
      </w:r>
    </w:p>
    <w:p w:rsidR="0064178B" w:rsidRDefault="008B15CE" w:rsidP="00043389">
      <w:pPr>
        <w:spacing w:after="120" w:line="276" w:lineRule="auto"/>
        <w:rPr>
          <w:rFonts w:cstheme="minorHAnsi"/>
        </w:rPr>
      </w:pPr>
      <w:r w:rsidRPr="00797F85">
        <w:rPr>
          <w:rFonts w:cstheme="minorHAnsi"/>
        </w:rPr>
        <w:t>T</w:t>
      </w:r>
      <w:r w:rsidR="00A44693" w:rsidRPr="00797F85">
        <w:rPr>
          <w:rFonts w:cstheme="minorHAnsi"/>
        </w:rPr>
        <w:t>he Bayside Pen</w:t>
      </w:r>
      <w:r w:rsidR="00711229" w:rsidRPr="00797F85">
        <w:rPr>
          <w:rFonts w:cstheme="minorHAnsi"/>
        </w:rPr>
        <w:t xml:space="preserve">insula </w:t>
      </w:r>
      <w:r w:rsidR="00F76C49" w:rsidRPr="00797F85">
        <w:rPr>
          <w:rFonts w:cstheme="minorHAnsi"/>
        </w:rPr>
        <w:t xml:space="preserve">Area </w:t>
      </w:r>
      <w:r w:rsidR="003A498A" w:rsidRPr="00797F85">
        <w:rPr>
          <w:rFonts w:cstheme="minorHAnsi"/>
        </w:rPr>
        <w:t xml:space="preserve">is currently allocated </w:t>
      </w:r>
      <w:r w:rsidR="00F76C49" w:rsidRPr="00797F85">
        <w:rPr>
          <w:rFonts w:cstheme="minorHAnsi"/>
          <w:color w:val="000000"/>
          <w:lang w:eastAsia="en-AU"/>
        </w:rPr>
        <w:t>approximately $150,000 per financial year</w:t>
      </w:r>
      <w:r w:rsidR="003A498A" w:rsidRPr="00797F85">
        <w:rPr>
          <w:rFonts w:cstheme="minorHAnsi"/>
          <w:color w:val="000000"/>
          <w:lang w:eastAsia="en-AU"/>
        </w:rPr>
        <w:t xml:space="preserve"> </w:t>
      </w:r>
      <w:r w:rsidR="00F76C49" w:rsidRPr="00797F85">
        <w:rPr>
          <w:rFonts w:cstheme="minorHAnsi"/>
        </w:rPr>
        <w:t>of Flexible Funding</w:t>
      </w:r>
      <w:r w:rsidR="00A44693" w:rsidRPr="00797F85">
        <w:rPr>
          <w:rFonts w:cstheme="minorHAnsi"/>
        </w:rPr>
        <w:t>.</w:t>
      </w:r>
      <w:r w:rsidR="00886CCD" w:rsidRPr="00797F85">
        <w:rPr>
          <w:rFonts w:cstheme="minorHAnsi"/>
        </w:rPr>
        <w:t xml:space="preserve">  Anglicare Victoria as the Facilitating Agency administer</w:t>
      </w:r>
      <w:r w:rsidR="00F76C49" w:rsidRPr="00797F85">
        <w:rPr>
          <w:rFonts w:cstheme="minorHAnsi"/>
        </w:rPr>
        <w:t>s</w:t>
      </w:r>
      <w:r w:rsidR="00C541B2">
        <w:rPr>
          <w:rFonts w:cstheme="minorHAnsi"/>
        </w:rPr>
        <w:t xml:space="preserve"> the funding to broker Flexible Support Packages (FSPs)</w:t>
      </w:r>
    </w:p>
    <w:p w:rsidR="002B1F21" w:rsidRPr="002B1F21" w:rsidRDefault="002B1F21" w:rsidP="002B1F21">
      <w:pPr>
        <w:pStyle w:val="ListParagraph"/>
        <w:numPr>
          <w:ilvl w:val="0"/>
          <w:numId w:val="27"/>
        </w:numPr>
        <w:spacing w:after="120" w:line="276" w:lineRule="auto"/>
        <w:rPr>
          <w:rFonts w:cstheme="minorHAnsi"/>
          <w:b/>
        </w:rPr>
      </w:pPr>
      <w:r w:rsidRPr="002B1F21">
        <w:rPr>
          <w:rFonts w:cstheme="minorHAnsi"/>
          <w:b/>
        </w:rPr>
        <w:t>A</w:t>
      </w:r>
      <w:r w:rsidR="0064799D">
        <w:rPr>
          <w:rFonts w:cstheme="minorHAnsi"/>
          <w:b/>
        </w:rPr>
        <w:t>dditional funding stream as at</w:t>
      </w:r>
      <w:r w:rsidRPr="002B1F21">
        <w:rPr>
          <w:rFonts w:cstheme="minorHAnsi"/>
          <w:b/>
        </w:rPr>
        <w:t xml:space="preserve"> January 2022</w:t>
      </w:r>
    </w:p>
    <w:p w:rsidR="0064799D" w:rsidRDefault="002B1F21" w:rsidP="0064799D">
      <w:pPr>
        <w:rPr>
          <w:lang w:eastAsia="en-AU"/>
        </w:rPr>
      </w:pPr>
      <w:r>
        <w:rPr>
          <w:color w:val="000000"/>
        </w:rPr>
        <w:t>The alliance was formally notified of an addition</w:t>
      </w:r>
      <w:r w:rsidR="0064799D">
        <w:rPr>
          <w:color w:val="000000"/>
        </w:rPr>
        <w:t>al funding stream to support</w:t>
      </w:r>
      <w:r>
        <w:rPr>
          <w:color w:val="000000"/>
        </w:rPr>
        <w:t xml:space="preserve"> famili</w:t>
      </w:r>
      <w:r w:rsidR="0064799D">
        <w:rPr>
          <w:color w:val="000000"/>
        </w:rPr>
        <w:t xml:space="preserve">es during the COVID-19 pandemic, </w:t>
      </w:r>
      <w:r>
        <w:rPr>
          <w:color w:val="000000"/>
        </w:rPr>
        <w:t xml:space="preserve">for use until June 30 2023. </w:t>
      </w:r>
      <w:r>
        <w:rPr>
          <w:lang w:eastAsia="en-AU"/>
        </w:rPr>
        <w:t>Allocations were based on the percentage of child protection reports over the 2019-20 and 2020-21 financial years, which has been used as an indicator of the</w:t>
      </w:r>
      <w:r w:rsidR="0064799D">
        <w:rPr>
          <w:lang w:eastAsia="en-AU"/>
        </w:rPr>
        <w:t xml:space="preserve"> level of family vulnerability with an allocation of $103,899. </w:t>
      </w:r>
      <w:r w:rsidR="00C541B2">
        <w:rPr>
          <w:lang w:eastAsia="en-AU"/>
        </w:rPr>
        <w:t xml:space="preserve">This stream creates an additional package of funding for Flexible Support Packages (COVID provisions) available to Bayside Peninsula Child &amp; Family Services clients until June 2023. </w:t>
      </w:r>
    </w:p>
    <w:p w:rsidR="0064799D" w:rsidRPr="002B1F21" w:rsidRDefault="0064799D" w:rsidP="0064799D">
      <w:pPr>
        <w:pStyle w:val="ListParagraph"/>
        <w:numPr>
          <w:ilvl w:val="0"/>
          <w:numId w:val="7"/>
        </w:numPr>
        <w:spacing w:line="276" w:lineRule="auto"/>
        <w:rPr>
          <w:b/>
          <w:color w:val="0095A3"/>
        </w:rPr>
      </w:pPr>
      <w:r>
        <w:rPr>
          <w:b/>
          <w:color w:val="0095A3"/>
        </w:rPr>
        <w:t>COVID provisions guidelines</w:t>
      </w:r>
    </w:p>
    <w:p w:rsidR="0064799D" w:rsidRPr="0064799D" w:rsidRDefault="008240A4" w:rsidP="0064799D">
      <w:pPr>
        <w:rPr>
          <w:lang w:eastAsia="en-AU"/>
        </w:rPr>
      </w:pPr>
      <w:r>
        <w:rPr>
          <w:lang w:eastAsia="en-AU"/>
        </w:rPr>
        <w:t>FSPs</w:t>
      </w:r>
      <w:r w:rsidR="00C541B2">
        <w:rPr>
          <w:lang w:eastAsia="en-AU"/>
        </w:rPr>
        <w:t xml:space="preserve"> (</w:t>
      </w:r>
      <w:r w:rsidR="0064799D" w:rsidRPr="0064799D">
        <w:rPr>
          <w:lang w:eastAsia="en-AU"/>
        </w:rPr>
        <w:t>COVID provisions</w:t>
      </w:r>
      <w:r w:rsidR="00C541B2">
        <w:rPr>
          <w:lang w:eastAsia="en-AU"/>
        </w:rPr>
        <w:t>)</w:t>
      </w:r>
      <w:r w:rsidR="0064799D" w:rsidRPr="0064799D">
        <w:rPr>
          <w:lang w:eastAsia="en-AU"/>
        </w:rPr>
        <w:t xml:space="preserve"> are considered for use in </w:t>
      </w:r>
      <w:r w:rsidR="0033651A">
        <w:rPr>
          <w:u w:val="single"/>
          <w:lang w:eastAsia="en-AU"/>
        </w:rPr>
        <w:t>exceptional circu</w:t>
      </w:r>
      <w:r w:rsidR="0064799D" w:rsidRPr="0064799D">
        <w:rPr>
          <w:u w:val="single"/>
          <w:lang w:eastAsia="en-AU"/>
        </w:rPr>
        <w:t>mstances</w:t>
      </w:r>
      <w:r w:rsidR="00C541B2">
        <w:rPr>
          <w:lang w:eastAsia="en-AU"/>
        </w:rPr>
        <w:t xml:space="preserve"> when </w:t>
      </w:r>
      <w:r w:rsidR="0064799D" w:rsidRPr="0064799D">
        <w:rPr>
          <w:lang w:eastAsia="en-AU"/>
        </w:rPr>
        <w:t xml:space="preserve">taking into consideration the unprecedented impact of the COVID-19 pandemic, these packages have been approved to consider additional support that existing FSPs do not. </w:t>
      </w:r>
    </w:p>
    <w:p w:rsidR="0064799D" w:rsidRDefault="0064799D" w:rsidP="0064799D">
      <w:pPr>
        <w:rPr>
          <w:color w:val="000000"/>
        </w:rPr>
      </w:pPr>
      <w:r>
        <w:rPr>
          <w:color w:val="000000"/>
        </w:rPr>
        <w:t>This takes into consideration the significant financial impact of the pandemic and the increased financial</w:t>
      </w:r>
      <w:r w:rsidR="00441EED">
        <w:rPr>
          <w:color w:val="000000"/>
        </w:rPr>
        <w:t xml:space="preserve"> and housing </w:t>
      </w:r>
      <w:r>
        <w:rPr>
          <w:color w:val="000000"/>
        </w:rPr>
        <w:t xml:space="preserve">stress placed on vulnerable families. </w:t>
      </w:r>
    </w:p>
    <w:p w:rsidR="0064799D" w:rsidRDefault="0064799D" w:rsidP="0064799D">
      <w:pPr>
        <w:rPr>
          <w:color w:val="000000"/>
        </w:rPr>
      </w:pPr>
      <w:r>
        <w:rPr>
          <w:color w:val="000000"/>
        </w:rPr>
        <w:t>The following is a summary of the</w:t>
      </w:r>
      <w:r w:rsidR="008240A4">
        <w:rPr>
          <w:color w:val="000000"/>
        </w:rPr>
        <w:t xml:space="preserve"> additional supports available under FSP</w:t>
      </w:r>
      <w:r>
        <w:rPr>
          <w:color w:val="000000"/>
        </w:rPr>
        <w:t xml:space="preserve"> </w:t>
      </w:r>
      <w:r w:rsidR="008240A4">
        <w:rPr>
          <w:color w:val="000000"/>
        </w:rPr>
        <w:t>(</w:t>
      </w:r>
      <w:r>
        <w:rPr>
          <w:color w:val="000000"/>
        </w:rPr>
        <w:t>COVID provisions</w:t>
      </w:r>
      <w:r w:rsidR="008240A4">
        <w:rPr>
          <w:color w:val="000000"/>
        </w:rPr>
        <w:t>)</w:t>
      </w:r>
      <w:r>
        <w:rPr>
          <w:color w:val="000000"/>
        </w:rPr>
        <w:t xml:space="preserve"> funding: </w:t>
      </w:r>
    </w:p>
    <w:p w:rsidR="0064799D" w:rsidRDefault="00CA22C7" w:rsidP="0064799D">
      <w:pPr>
        <w:numPr>
          <w:ilvl w:val="0"/>
          <w:numId w:val="28"/>
        </w:numPr>
        <w:spacing w:after="120" w:line="288" w:lineRule="auto"/>
        <w:contextualSpacing/>
        <w:rPr>
          <w:rFonts w:eastAsia="Times New Roman"/>
          <w:color w:val="000000"/>
        </w:rPr>
      </w:pPr>
      <w:r>
        <w:rPr>
          <w:rFonts w:eastAsia="Times New Roman"/>
          <w:color w:val="000000"/>
        </w:rPr>
        <w:t>P</w:t>
      </w:r>
      <w:r w:rsidR="0064799D">
        <w:rPr>
          <w:rFonts w:eastAsia="Times New Roman"/>
          <w:color w:val="000000"/>
        </w:rPr>
        <w:t>ackag</w:t>
      </w:r>
      <w:r>
        <w:rPr>
          <w:rFonts w:eastAsia="Times New Roman"/>
          <w:color w:val="000000"/>
        </w:rPr>
        <w:t>e amount</w:t>
      </w:r>
      <w:r w:rsidR="008240A4">
        <w:rPr>
          <w:rFonts w:eastAsia="Times New Roman"/>
          <w:color w:val="000000"/>
        </w:rPr>
        <w:t xml:space="preserve"> $1500: approval by P</w:t>
      </w:r>
      <w:r w:rsidR="0064799D">
        <w:rPr>
          <w:rFonts w:eastAsia="Times New Roman"/>
          <w:color w:val="000000"/>
        </w:rPr>
        <w:t>artnership</w:t>
      </w:r>
      <w:r w:rsidR="008240A4">
        <w:rPr>
          <w:rFonts w:eastAsia="Times New Roman"/>
          <w:color w:val="000000"/>
        </w:rPr>
        <w:t xml:space="preserve"> F</w:t>
      </w:r>
      <w:r w:rsidR="0064799D">
        <w:rPr>
          <w:rFonts w:eastAsia="Times New Roman"/>
          <w:color w:val="000000"/>
        </w:rPr>
        <w:t>acilitator</w:t>
      </w:r>
    </w:p>
    <w:p w:rsidR="00CA22C7" w:rsidRDefault="00CA22C7" w:rsidP="0064799D">
      <w:pPr>
        <w:numPr>
          <w:ilvl w:val="0"/>
          <w:numId w:val="28"/>
        </w:numPr>
        <w:spacing w:after="120" w:line="288" w:lineRule="auto"/>
        <w:contextualSpacing/>
        <w:rPr>
          <w:rFonts w:eastAsia="Times New Roman"/>
          <w:color w:val="000000"/>
        </w:rPr>
      </w:pPr>
      <w:r>
        <w:rPr>
          <w:rFonts w:eastAsia="Times New Roman"/>
          <w:color w:val="000000"/>
        </w:rPr>
        <w:t xml:space="preserve">Packages supporting </w:t>
      </w:r>
      <w:r w:rsidRPr="00CA22C7">
        <w:rPr>
          <w:rFonts w:eastAsia="Times New Roman"/>
          <w:color w:val="000000"/>
          <w:u w:val="single"/>
        </w:rPr>
        <w:t>debt repayment, rental arrears or other financial support</w:t>
      </w:r>
      <w:r>
        <w:rPr>
          <w:rFonts w:eastAsia="Times New Roman"/>
          <w:color w:val="000000"/>
        </w:rPr>
        <w:t>: up to $2500 with Program Manager approval and above $2500 approval by alliance Deputy Chair</w:t>
      </w:r>
    </w:p>
    <w:p w:rsidR="0064799D" w:rsidRDefault="0064799D" w:rsidP="0064799D">
      <w:pPr>
        <w:numPr>
          <w:ilvl w:val="0"/>
          <w:numId w:val="28"/>
        </w:numPr>
        <w:spacing w:after="120" w:line="288" w:lineRule="auto"/>
        <w:contextualSpacing/>
        <w:rPr>
          <w:rFonts w:eastAsia="Times New Roman"/>
          <w:color w:val="000000"/>
        </w:rPr>
      </w:pPr>
      <w:r>
        <w:rPr>
          <w:rFonts w:eastAsia="Times New Roman"/>
          <w:color w:val="000000"/>
        </w:rPr>
        <w:t>Packages</w:t>
      </w:r>
      <w:r w:rsidR="00CA22C7">
        <w:rPr>
          <w:rFonts w:eastAsia="Times New Roman"/>
          <w:color w:val="000000"/>
        </w:rPr>
        <w:t xml:space="preserve"> to support </w:t>
      </w:r>
      <w:r w:rsidR="00CA22C7" w:rsidRPr="00CA22C7">
        <w:rPr>
          <w:rFonts w:eastAsia="Times New Roman"/>
          <w:color w:val="000000"/>
          <w:u w:val="single"/>
        </w:rPr>
        <w:t>items or services</w:t>
      </w:r>
      <w:r>
        <w:rPr>
          <w:rFonts w:eastAsia="Times New Roman"/>
          <w:color w:val="000000"/>
        </w:rPr>
        <w:t xml:space="preserve"> $</w:t>
      </w:r>
      <w:r w:rsidR="008240A4">
        <w:rPr>
          <w:rFonts w:eastAsia="Times New Roman"/>
          <w:color w:val="000000"/>
        </w:rPr>
        <w:t>1500-$2000: approval by agency Program M</w:t>
      </w:r>
      <w:r>
        <w:rPr>
          <w:rFonts w:eastAsia="Times New Roman"/>
          <w:color w:val="000000"/>
        </w:rPr>
        <w:t xml:space="preserve">anager </w:t>
      </w:r>
      <w:r w:rsidR="00CA22C7">
        <w:rPr>
          <w:rFonts w:eastAsia="Times New Roman"/>
          <w:color w:val="000000"/>
        </w:rPr>
        <w:t xml:space="preserve">and above $2000 approval by alliance Deputy Chair. </w:t>
      </w:r>
    </w:p>
    <w:p w:rsidR="0064799D" w:rsidRDefault="0064799D" w:rsidP="0064799D">
      <w:pPr>
        <w:spacing w:after="120" w:line="288" w:lineRule="auto"/>
        <w:ind w:left="720"/>
        <w:contextualSpacing/>
        <w:rPr>
          <w:rFonts w:eastAsia="Times New Roman"/>
          <w:color w:val="000000"/>
        </w:rPr>
      </w:pPr>
    </w:p>
    <w:p w:rsidR="0064799D" w:rsidRPr="000A66E3" w:rsidRDefault="00CA22C7" w:rsidP="0064799D">
      <w:pPr>
        <w:rPr>
          <w:color w:val="000000"/>
        </w:rPr>
      </w:pPr>
      <w:r>
        <w:rPr>
          <w:color w:val="000000"/>
        </w:rPr>
        <w:t>Funding</w:t>
      </w:r>
      <w:r w:rsidR="0064799D">
        <w:rPr>
          <w:color w:val="000000"/>
        </w:rPr>
        <w:t xml:space="preserve"> guidelines have been extended to support payments where the current FSP’s cannot, inclusive of:</w:t>
      </w:r>
    </w:p>
    <w:p w:rsidR="0064799D" w:rsidRDefault="0064799D" w:rsidP="0064799D">
      <w:pPr>
        <w:numPr>
          <w:ilvl w:val="0"/>
          <w:numId w:val="29"/>
        </w:numPr>
        <w:spacing w:after="120" w:line="288" w:lineRule="auto"/>
        <w:contextualSpacing/>
        <w:rPr>
          <w:rFonts w:eastAsia="Times New Roman"/>
          <w:color w:val="000000"/>
        </w:rPr>
      </w:pPr>
      <w:r>
        <w:rPr>
          <w:rFonts w:eastAsia="Times New Roman"/>
          <w:color w:val="000000"/>
        </w:rPr>
        <w:t xml:space="preserve">Debt repayment </w:t>
      </w:r>
    </w:p>
    <w:p w:rsidR="0064799D" w:rsidRDefault="0064799D" w:rsidP="0064799D">
      <w:pPr>
        <w:numPr>
          <w:ilvl w:val="0"/>
          <w:numId w:val="29"/>
        </w:numPr>
        <w:spacing w:after="120" w:line="288" w:lineRule="auto"/>
        <w:contextualSpacing/>
        <w:rPr>
          <w:rFonts w:eastAsia="Times New Roman"/>
          <w:color w:val="000000"/>
        </w:rPr>
      </w:pPr>
      <w:r>
        <w:rPr>
          <w:rFonts w:eastAsia="Times New Roman"/>
          <w:color w:val="000000"/>
        </w:rPr>
        <w:t>Rental arrears + utility payments</w:t>
      </w:r>
    </w:p>
    <w:p w:rsidR="0064799D" w:rsidRDefault="0064799D" w:rsidP="0064799D">
      <w:pPr>
        <w:numPr>
          <w:ilvl w:val="0"/>
          <w:numId w:val="29"/>
        </w:numPr>
        <w:spacing w:after="120" w:line="288" w:lineRule="auto"/>
        <w:contextualSpacing/>
        <w:rPr>
          <w:rFonts w:eastAsia="Times New Roman"/>
          <w:color w:val="000000"/>
        </w:rPr>
      </w:pPr>
      <w:r>
        <w:rPr>
          <w:rFonts w:eastAsia="Times New Roman"/>
          <w:color w:val="000000"/>
        </w:rPr>
        <w:t>Food vouchers (excluding alcohol)</w:t>
      </w:r>
    </w:p>
    <w:p w:rsidR="00441EED" w:rsidRDefault="00441EED" w:rsidP="0064799D">
      <w:pPr>
        <w:rPr>
          <w:color w:val="000000"/>
        </w:rPr>
      </w:pPr>
      <w:bookmarkStart w:id="0" w:name="_GoBack"/>
      <w:bookmarkEnd w:id="0"/>
    </w:p>
    <w:p w:rsidR="008240A4" w:rsidRDefault="008240A4" w:rsidP="0064799D">
      <w:pPr>
        <w:rPr>
          <w:color w:val="000000"/>
        </w:rPr>
      </w:pPr>
      <w:r>
        <w:rPr>
          <w:color w:val="000000"/>
        </w:rPr>
        <w:lastRenderedPageBreak/>
        <w:t xml:space="preserve">FSP (COVID provisions) otherwise utilise the same principles as the existing FSP, with the addition of extended guidelines as outlined above, and higher package amount. </w:t>
      </w:r>
    </w:p>
    <w:p w:rsidR="008240A4" w:rsidRPr="002B1F21" w:rsidRDefault="008240A4" w:rsidP="008240A4">
      <w:pPr>
        <w:pStyle w:val="ListParagraph"/>
        <w:numPr>
          <w:ilvl w:val="0"/>
          <w:numId w:val="7"/>
        </w:numPr>
        <w:spacing w:line="276" w:lineRule="auto"/>
        <w:rPr>
          <w:b/>
          <w:color w:val="0095A3"/>
        </w:rPr>
      </w:pPr>
      <w:r>
        <w:rPr>
          <w:b/>
          <w:color w:val="0095A3"/>
        </w:rPr>
        <w:t>Flexible Funding Guidelines</w:t>
      </w:r>
    </w:p>
    <w:p w:rsidR="0064178B" w:rsidRPr="00797F85" w:rsidRDefault="00F76C49" w:rsidP="00F76C49">
      <w:pPr>
        <w:spacing w:line="276" w:lineRule="auto"/>
        <w:rPr>
          <w:rFonts w:cstheme="minorHAnsi"/>
        </w:rPr>
      </w:pPr>
      <w:r w:rsidRPr="00797F85">
        <w:rPr>
          <w:rFonts w:cstheme="minorHAnsi"/>
        </w:rPr>
        <w:t xml:space="preserve">As per the </w:t>
      </w:r>
      <w:hyperlink r:id="rId8" w:history="1">
        <w:r w:rsidRPr="00C541B2">
          <w:rPr>
            <w:rStyle w:val="Hyperlink"/>
            <w:rFonts w:cstheme="minorHAnsi"/>
            <w:color w:val="0095A3"/>
          </w:rPr>
          <w:t>Program Requirements for family and early parenting services in Victoria,</w:t>
        </w:r>
      </w:hyperlink>
      <w:r w:rsidRPr="00C541B2">
        <w:rPr>
          <w:rFonts w:cstheme="minorHAnsi"/>
          <w:color w:val="0095A3"/>
        </w:rPr>
        <w:t xml:space="preserve"> </w:t>
      </w:r>
      <w:r w:rsidRPr="00797F85">
        <w:rPr>
          <w:rFonts w:cstheme="minorHAnsi"/>
        </w:rPr>
        <w:t xml:space="preserve">the </w:t>
      </w:r>
      <w:r w:rsidR="0064178B" w:rsidRPr="00797F85">
        <w:rPr>
          <w:rFonts w:cstheme="minorHAnsi"/>
        </w:rPr>
        <w:t xml:space="preserve">use of flexible funding </w:t>
      </w:r>
      <w:r w:rsidR="0064178B" w:rsidRPr="00797F85">
        <w:rPr>
          <w:rFonts w:cstheme="minorHAnsi"/>
          <w:b/>
        </w:rPr>
        <w:t>must be focussed on outcomes and clearly link to the implementation and achievement of goals in the Child and Family Action Plan</w:t>
      </w:r>
      <w:r w:rsidR="0064178B" w:rsidRPr="00797F85">
        <w:rPr>
          <w:rFonts w:cstheme="minorHAnsi"/>
        </w:rPr>
        <w:t>.</w:t>
      </w:r>
    </w:p>
    <w:p w:rsidR="0064178B" w:rsidRPr="00797F85" w:rsidRDefault="0064178B" w:rsidP="0064178B">
      <w:pPr>
        <w:pStyle w:val="DHHSbody"/>
        <w:rPr>
          <w:rFonts w:asciiTheme="minorHAnsi" w:hAnsiTheme="minorHAnsi" w:cstheme="minorHAnsi"/>
        </w:rPr>
      </w:pPr>
      <w:r w:rsidRPr="00797F85">
        <w:rPr>
          <w:rFonts w:asciiTheme="minorHAnsi" w:hAnsiTheme="minorHAnsi" w:cstheme="minorHAnsi"/>
        </w:rPr>
        <w:t>It is used to:</w:t>
      </w:r>
    </w:p>
    <w:p w:rsidR="0064178B" w:rsidRPr="00797F85" w:rsidRDefault="002B1F21" w:rsidP="0064178B">
      <w:pPr>
        <w:pStyle w:val="DHHSbody"/>
        <w:rPr>
          <w:rFonts w:asciiTheme="minorHAnsi" w:hAnsiTheme="minorHAnsi" w:cstheme="minorHAnsi"/>
        </w:rPr>
      </w:pPr>
      <w:r>
        <w:rPr>
          <w:rFonts w:asciiTheme="minorHAnsi" w:hAnsiTheme="minorHAnsi" w:cstheme="minorHAnsi"/>
        </w:rPr>
        <w:t xml:space="preserve">• </w:t>
      </w:r>
      <w:r w:rsidR="0064178B" w:rsidRPr="00797F85">
        <w:rPr>
          <w:rFonts w:asciiTheme="minorHAnsi" w:hAnsiTheme="minorHAnsi" w:cstheme="minorHAnsi"/>
        </w:rPr>
        <w:t xml:space="preserve">enable families to make </w:t>
      </w:r>
      <w:r w:rsidR="0064178B" w:rsidRPr="00797F85">
        <w:rPr>
          <w:rFonts w:asciiTheme="minorHAnsi" w:hAnsiTheme="minorHAnsi" w:cstheme="minorHAnsi"/>
          <w:b/>
        </w:rPr>
        <w:t xml:space="preserve">positive and enduring change </w:t>
      </w:r>
      <w:r w:rsidR="0064178B" w:rsidRPr="00797F85">
        <w:rPr>
          <w:rFonts w:asciiTheme="minorHAnsi" w:hAnsiTheme="minorHAnsi" w:cstheme="minorHAnsi"/>
        </w:rPr>
        <w:t>that will increase parenting capacity, improve family functioning and promote the safety, wellbeing and development of their children and young people.</w:t>
      </w:r>
    </w:p>
    <w:p w:rsidR="0064178B" w:rsidRPr="00797F85" w:rsidRDefault="002B1F21" w:rsidP="0064178B">
      <w:pPr>
        <w:pStyle w:val="DHHSbody"/>
        <w:rPr>
          <w:rFonts w:asciiTheme="minorHAnsi" w:hAnsiTheme="minorHAnsi" w:cstheme="minorHAnsi"/>
        </w:rPr>
      </w:pPr>
      <w:r>
        <w:rPr>
          <w:rFonts w:asciiTheme="minorHAnsi" w:hAnsiTheme="minorHAnsi" w:cstheme="minorHAnsi"/>
        </w:rPr>
        <w:t xml:space="preserve">• </w:t>
      </w:r>
      <w:r w:rsidR="0064178B" w:rsidRPr="00797F85">
        <w:rPr>
          <w:rFonts w:asciiTheme="minorHAnsi" w:hAnsiTheme="minorHAnsi" w:cstheme="minorHAnsi"/>
        </w:rPr>
        <w:t xml:space="preserve">provide practical support and services to </w:t>
      </w:r>
      <w:r w:rsidR="0064178B" w:rsidRPr="00797F85">
        <w:rPr>
          <w:rFonts w:asciiTheme="minorHAnsi" w:hAnsiTheme="minorHAnsi" w:cstheme="minorHAnsi"/>
          <w:b/>
        </w:rPr>
        <w:t>minimise children, young people and families requiring more intensive intervention</w:t>
      </w:r>
      <w:r w:rsidR="0064178B" w:rsidRPr="00797F85">
        <w:rPr>
          <w:rFonts w:asciiTheme="minorHAnsi" w:hAnsiTheme="minorHAnsi" w:cstheme="minorHAnsi"/>
        </w:rPr>
        <w:t>.</w:t>
      </w:r>
    </w:p>
    <w:p w:rsidR="00F76C49" w:rsidRPr="00797F85" w:rsidRDefault="00F76C49" w:rsidP="00F76C49">
      <w:pPr>
        <w:spacing w:line="276" w:lineRule="auto"/>
        <w:rPr>
          <w:rFonts w:eastAsia="Times" w:cstheme="minorHAnsi"/>
        </w:rPr>
      </w:pPr>
      <w:r w:rsidRPr="00797F85">
        <w:rPr>
          <w:rFonts w:eastAsia="Times" w:cstheme="minorHAnsi"/>
        </w:rPr>
        <w:t>Allocation of flexible funding must be prioritised based on an assessment of greatest need and anticipated positive impacts on children’s safety, stability and development.</w:t>
      </w:r>
    </w:p>
    <w:p w:rsidR="0020110B" w:rsidRPr="002B1F21" w:rsidRDefault="00F76C49" w:rsidP="00511C09">
      <w:pPr>
        <w:spacing w:line="276" w:lineRule="auto"/>
        <w:rPr>
          <w:rFonts w:eastAsia="Times" w:cstheme="minorHAnsi"/>
        </w:rPr>
      </w:pPr>
      <w:r w:rsidRPr="00797F85">
        <w:rPr>
          <w:rFonts w:eastAsia="Times" w:cstheme="minorHAnsi"/>
        </w:rPr>
        <w:t>It is important to note that whilst the use of flexible support funds to provide practical assistance is helpful in engaging parents, providing practical help is only one aspect of the intervention. If the underlying issues leading to the need for family services intervention are not addressed, then small changes brought about using flexible funding are unlikely to make a sustained difference.</w:t>
      </w:r>
    </w:p>
    <w:p w:rsidR="004C0889" w:rsidRPr="002B1F21" w:rsidRDefault="00F76C49" w:rsidP="008240A4">
      <w:pPr>
        <w:pStyle w:val="ListParagraph"/>
        <w:numPr>
          <w:ilvl w:val="0"/>
          <w:numId w:val="28"/>
        </w:numPr>
        <w:spacing w:line="276" w:lineRule="auto"/>
        <w:rPr>
          <w:b/>
          <w:color w:val="0095A3"/>
        </w:rPr>
      </w:pPr>
      <w:r w:rsidRPr="002B1F21">
        <w:rPr>
          <w:b/>
          <w:color w:val="0095A3"/>
        </w:rPr>
        <w:t>Use of Flexible Funding</w:t>
      </w:r>
    </w:p>
    <w:p w:rsidR="00F76C49" w:rsidRPr="00797F85" w:rsidRDefault="00B03AF9" w:rsidP="00F76C49">
      <w:pPr>
        <w:pStyle w:val="DHHSbody"/>
        <w:rPr>
          <w:rFonts w:asciiTheme="minorHAnsi" w:hAnsiTheme="minorHAnsi" w:cstheme="minorHAnsi"/>
        </w:rPr>
      </w:pPr>
      <w:r>
        <w:rPr>
          <w:rFonts w:asciiTheme="minorHAnsi" w:hAnsiTheme="minorHAnsi" w:cstheme="minorHAnsi"/>
        </w:rPr>
        <w:t xml:space="preserve">Alliance </w:t>
      </w:r>
      <w:r w:rsidR="00F76C49" w:rsidRPr="00797F85">
        <w:rPr>
          <w:rFonts w:asciiTheme="minorHAnsi" w:hAnsiTheme="minorHAnsi" w:cstheme="minorHAnsi"/>
        </w:rPr>
        <w:t xml:space="preserve">Flexible funding </w:t>
      </w:r>
      <w:r w:rsidR="00043389" w:rsidRPr="00797F85">
        <w:rPr>
          <w:rFonts w:asciiTheme="minorHAnsi" w:hAnsiTheme="minorHAnsi" w:cstheme="minorHAnsi"/>
        </w:rPr>
        <w:t xml:space="preserve">is intended to </w:t>
      </w:r>
      <w:r w:rsidR="00F76C49" w:rsidRPr="00797F85">
        <w:rPr>
          <w:rFonts w:asciiTheme="minorHAnsi" w:hAnsiTheme="minorHAnsi" w:cstheme="minorHAnsi"/>
        </w:rPr>
        <w:t xml:space="preserve">provide a one-off package of support to </w:t>
      </w:r>
      <w:r w:rsidR="00040A35" w:rsidRPr="00040A35">
        <w:rPr>
          <w:rFonts w:asciiTheme="minorHAnsi" w:hAnsiTheme="minorHAnsi" w:cstheme="minorHAnsi"/>
        </w:rPr>
        <w:t>vulnerable children, young people and their families (inclusive of unborn, infants, children, young people, mothers, fathers, parents, siblings, carers, and carer families) accessing support through</w:t>
      </w:r>
      <w:r w:rsidR="00040A35">
        <w:rPr>
          <w:rFonts w:asciiTheme="minorHAnsi" w:hAnsiTheme="minorHAnsi" w:cstheme="minorHAnsi"/>
        </w:rPr>
        <w:t xml:space="preserve"> Child and Family Services </w:t>
      </w:r>
      <w:r w:rsidR="00043389" w:rsidRPr="00797F85">
        <w:rPr>
          <w:rFonts w:asciiTheme="minorHAnsi" w:hAnsiTheme="minorHAnsi" w:cstheme="minorHAnsi"/>
        </w:rPr>
        <w:t>, this includes;</w:t>
      </w:r>
    </w:p>
    <w:p w:rsidR="00043389" w:rsidRPr="00E96D35" w:rsidRDefault="00043389" w:rsidP="00043389">
      <w:pPr>
        <w:pStyle w:val="DHHSbody"/>
        <w:numPr>
          <w:ilvl w:val="0"/>
          <w:numId w:val="20"/>
        </w:numPr>
        <w:rPr>
          <w:rFonts w:asciiTheme="minorHAnsi" w:hAnsiTheme="minorHAnsi" w:cstheme="minorHAnsi"/>
        </w:rPr>
      </w:pPr>
      <w:r w:rsidRPr="00E96D35">
        <w:rPr>
          <w:rFonts w:asciiTheme="minorHAnsi" w:hAnsiTheme="minorHAnsi" w:cstheme="minorHAnsi"/>
        </w:rPr>
        <w:t>Integrated Family Services (</w:t>
      </w:r>
      <w:r w:rsidRPr="00E96D35">
        <w:rPr>
          <w:rFonts w:asciiTheme="minorHAnsi" w:hAnsiTheme="minorHAnsi" w:cstheme="minorHAnsi"/>
          <w:i/>
        </w:rPr>
        <w:t>Brief, Foundation and Sustained</w:t>
      </w:r>
      <w:r w:rsidR="0031525A" w:rsidRPr="00E96D35">
        <w:rPr>
          <w:rFonts w:asciiTheme="minorHAnsi" w:hAnsiTheme="minorHAnsi" w:cstheme="minorHAnsi"/>
          <w:i/>
        </w:rPr>
        <w:t xml:space="preserve"> Cases</w:t>
      </w:r>
      <w:r w:rsidRPr="00E96D35">
        <w:rPr>
          <w:rFonts w:asciiTheme="minorHAnsi" w:hAnsiTheme="minorHAnsi" w:cstheme="minorHAnsi"/>
        </w:rPr>
        <w:t>)</w:t>
      </w:r>
    </w:p>
    <w:p w:rsidR="00043389" w:rsidRPr="00E96D35" w:rsidRDefault="00B03AF9" w:rsidP="00B03AF9">
      <w:pPr>
        <w:pStyle w:val="DHHSbody"/>
        <w:numPr>
          <w:ilvl w:val="0"/>
          <w:numId w:val="20"/>
        </w:numPr>
        <w:rPr>
          <w:rFonts w:asciiTheme="minorHAnsi" w:hAnsiTheme="minorHAnsi" w:cstheme="minorHAnsi"/>
        </w:rPr>
      </w:pPr>
      <w:r w:rsidRPr="00E96D35">
        <w:rPr>
          <w:rFonts w:asciiTheme="minorHAnsi" w:hAnsiTheme="minorHAnsi" w:cstheme="minorHAnsi"/>
        </w:rPr>
        <w:t xml:space="preserve">Intensive Family Services </w:t>
      </w:r>
      <w:r w:rsidRPr="00E96D35">
        <w:rPr>
          <w:rFonts w:asciiTheme="minorHAnsi" w:hAnsiTheme="minorHAnsi" w:cstheme="minorHAnsi"/>
          <w:i/>
        </w:rPr>
        <w:t>(</w:t>
      </w:r>
      <w:r w:rsidRPr="00E96D35">
        <w:rPr>
          <w:rFonts w:asciiTheme="minorHAnsi" w:hAnsiTheme="minorHAnsi" w:cstheme="minorHAnsi"/>
        </w:rPr>
        <w:t>G</w:t>
      </w:r>
      <w:r w:rsidR="00043389" w:rsidRPr="00E96D35">
        <w:rPr>
          <w:rFonts w:asciiTheme="minorHAnsi" w:hAnsiTheme="minorHAnsi" w:cstheme="minorHAnsi"/>
          <w:i/>
        </w:rPr>
        <w:t>ood Shepherd PUP</w:t>
      </w:r>
      <w:r w:rsidR="00043389" w:rsidRPr="00E96D35">
        <w:rPr>
          <w:rFonts w:asciiTheme="minorHAnsi" w:hAnsiTheme="minorHAnsi" w:cstheme="minorHAnsi"/>
        </w:rPr>
        <w:t>)</w:t>
      </w:r>
    </w:p>
    <w:p w:rsidR="00B03AF9" w:rsidRPr="00E96D35" w:rsidRDefault="00E563AD" w:rsidP="00B03AF9">
      <w:pPr>
        <w:pStyle w:val="DHHSbody"/>
        <w:rPr>
          <w:rFonts w:asciiTheme="minorHAnsi" w:hAnsiTheme="minorHAnsi" w:cstheme="minorHAnsi"/>
          <w:i/>
        </w:rPr>
      </w:pPr>
      <w:r w:rsidRPr="00E96D35">
        <w:rPr>
          <w:rFonts w:asciiTheme="minorHAnsi" w:hAnsiTheme="minorHAnsi" w:cstheme="minorHAnsi"/>
          <w:i/>
        </w:rPr>
        <w:t xml:space="preserve">Providers of the Victorian and Aboriginal </w:t>
      </w:r>
      <w:r w:rsidR="00B03AF9" w:rsidRPr="00E96D35">
        <w:rPr>
          <w:rFonts w:asciiTheme="minorHAnsi" w:hAnsiTheme="minorHAnsi" w:cstheme="minorHAnsi"/>
          <w:i/>
        </w:rPr>
        <w:t>Family Prese</w:t>
      </w:r>
      <w:r w:rsidRPr="00E96D35">
        <w:rPr>
          <w:rFonts w:asciiTheme="minorHAnsi" w:hAnsiTheme="minorHAnsi" w:cstheme="minorHAnsi"/>
          <w:i/>
        </w:rPr>
        <w:t>rvation and Reunification (AFPRR) have flexible funding allocated within their funding and should access this for clients within their programs.</w:t>
      </w:r>
    </w:p>
    <w:p w:rsidR="00043389" w:rsidRPr="00797F85" w:rsidRDefault="00043389" w:rsidP="00043389">
      <w:pPr>
        <w:pStyle w:val="DHHSbody"/>
        <w:rPr>
          <w:rFonts w:asciiTheme="minorHAnsi" w:hAnsiTheme="minorHAnsi" w:cstheme="minorHAnsi"/>
        </w:rPr>
      </w:pPr>
      <w:r w:rsidRPr="00797F85">
        <w:rPr>
          <w:rFonts w:asciiTheme="minorHAnsi" w:hAnsiTheme="minorHAnsi" w:cstheme="minorHAnsi"/>
        </w:rPr>
        <w:t>A</w:t>
      </w:r>
      <w:r w:rsidR="00EB4445" w:rsidRPr="00797F85">
        <w:rPr>
          <w:rFonts w:asciiTheme="minorHAnsi" w:hAnsiTheme="minorHAnsi" w:cstheme="minorHAnsi"/>
        </w:rPr>
        <w:t>s agreed by Alliance Agencies, a subsequent</w:t>
      </w:r>
      <w:r w:rsidRPr="00797F85">
        <w:rPr>
          <w:rFonts w:asciiTheme="minorHAnsi" w:hAnsiTheme="minorHAnsi" w:cstheme="minorHAnsi"/>
        </w:rPr>
        <w:t xml:space="preserve"> </w:t>
      </w:r>
      <w:r w:rsidR="0031525A">
        <w:rPr>
          <w:rFonts w:asciiTheme="minorHAnsi" w:hAnsiTheme="minorHAnsi" w:cstheme="minorHAnsi"/>
        </w:rPr>
        <w:t xml:space="preserve">FF </w:t>
      </w:r>
      <w:r w:rsidRPr="00797F85">
        <w:rPr>
          <w:rFonts w:asciiTheme="minorHAnsi" w:hAnsiTheme="minorHAnsi" w:cstheme="minorHAnsi"/>
        </w:rPr>
        <w:t>application</w:t>
      </w:r>
      <w:r w:rsidR="00EB4445" w:rsidRPr="00797F85">
        <w:rPr>
          <w:rFonts w:asciiTheme="minorHAnsi" w:hAnsiTheme="minorHAnsi" w:cstheme="minorHAnsi"/>
        </w:rPr>
        <w:t xml:space="preserve"> for the same family</w:t>
      </w:r>
      <w:r w:rsidRPr="00797F85">
        <w:rPr>
          <w:rFonts w:asciiTheme="minorHAnsi" w:hAnsiTheme="minorHAnsi" w:cstheme="minorHAnsi"/>
        </w:rPr>
        <w:t xml:space="preserve"> </w:t>
      </w:r>
      <w:r w:rsidR="00EB4445" w:rsidRPr="00797F85">
        <w:rPr>
          <w:rFonts w:asciiTheme="minorHAnsi" w:hAnsiTheme="minorHAnsi" w:cstheme="minorHAnsi"/>
        </w:rPr>
        <w:t>may be submitted for consideration</w:t>
      </w:r>
      <w:r w:rsidRPr="00797F85">
        <w:rPr>
          <w:rFonts w:asciiTheme="minorHAnsi" w:hAnsiTheme="minorHAnsi" w:cstheme="minorHAnsi"/>
        </w:rPr>
        <w:t xml:space="preserve">, should there be </w:t>
      </w:r>
      <w:r w:rsidRPr="0031525A">
        <w:rPr>
          <w:rFonts w:asciiTheme="minorHAnsi" w:hAnsiTheme="minorHAnsi" w:cstheme="minorHAnsi"/>
          <w:u w:val="single"/>
        </w:rPr>
        <w:t>ex</w:t>
      </w:r>
      <w:r w:rsidR="00EB4445" w:rsidRPr="0031525A">
        <w:rPr>
          <w:rFonts w:asciiTheme="minorHAnsi" w:hAnsiTheme="minorHAnsi" w:cstheme="minorHAnsi"/>
          <w:u w:val="single"/>
        </w:rPr>
        <w:t>ceptional circumstances</w:t>
      </w:r>
      <w:r w:rsidR="00EB4445" w:rsidRPr="00797F85">
        <w:rPr>
          <w:rFonts w:asciiTheme="minorHAnsi" w:hAnsiTheme="minorHAnsi" w:cstheme="minorHAnsi"/>
        </w:rPr>
        <w:t>.  A rationale for this must be clearly articulated i</w:t>
      </w:r>
      <w:r w:rsidR="00794AA5">
        <w:rPr>
          <w:rFonts w:asciiTheme="minorHAnsi" w:hAnsiTheme="minorHAnsi" w:cstheme="minorHAnsi"/>
        </w:rPr>
        <w:t>n the application</w:t>
      </w:r>
      <w:r w:rsidR="00E563AD">
        <w:rPr>
          <w:rFonts w:asciiTheme="minorHAnsi" w:hAnsiTheme="minorHAnsi" w:cstheme="minorHAnsi"/>
        </w:rPr>
        <w:t xml:space="preserve"> and supported in writing by the Program Manager</w:t>
      </w:r>
      <w:r w:rsidR="00794AA5">
        <w:rPr>
          <w:rFonts w:asciiTheme="minorHAnsi" w:hAnsiTheme="minorHAnsi" w:cstheme="minorHAnsi"/>
        </w:rPr>
        <w:t>.  This rationale will be recorded</w:t>
      </w:r>
      <w:r w:rsidR="00EB4445" w:rsidRPr="00797F85">
        <w:rPr>
          <w:rFonts w:asciiTheme="minorHAnsi" w:hAnsiTheme="minorHAnsi" w:cstheme="minorHAnsi"/>
        </w:rPr>
        <w:t xml:space="preserve"> on the DHHS funding acquittal.</w:t>
      </w:r>
    </w:p>
    <w:p w:rsidR="00F76C49" w:rsidRPr="00797F85" w:rsidRDefault="00441EED" w:rsidP="00EB4445">
      <w:pPr>
        <w:pStyle w:val="DHHSbody"/>
        <w:spacing w:after="40" w:line="30" w:lineRule="atLeast"/>
        <w:rPr>
          <w:rFonts w:asciiTheme="minorHAnsi" w:hAnsiTheme="minorHAnsi" w:cstheme="minorHAnsi"/>
        </w:rPr>
      </w:pPr>
      <w:r>
        <w:rPr>
          <w:rFonts w:asciiTheme="minorHAnsi" w:hAnsiTheme="minorHAnsi" w:cstheme="minorHAnsi"/>
        </w:rPr>
        <w:t xml:space="preserve">Flexible support packages (COVID provisions) </w:t>
      </w:r>
      <w:r w:rsidR="00F76C49" w:rsidRPr="00797F85">
        <w:rPr>
          <w:rFonts w:asciiTheme="minorHAnsi" w:hAnsiTheme="minorHAnsi" w:cstheme="minorHAnsi"/>
        </w:rPr>
        <w:t xml:space="preserve">cannot be used for the following purposes: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 xml:space="preserve">illegal activity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 xml:space="preserve">gambling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products or services not identified in Family Action Plans, or for emergency material aid.</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 xml:space="preserve">free or low-cost services readily available within the community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to replace or duplicate supports available through other funding sources (eg general case management).</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uses not directly related to Family Services</w:t>
      </w:r>
    </w:p>
    <w:p w:rsidR="00EB4445" w:rsidRPr="00797F85" w:rsidRDefault="00EB4445" w:rsidP="00EB4445">
      <w:pPr>
        <w:pStyle w:val="DHHSbody"/>
        <w:spacing w:after="40" w:line="30" w:lineRule="atLeast"/>
        <w:rPr>
          <w:rFonts w:asciiTheme="minorHAnsi" w:hAnsiTheme="minorHAnsi" w:cstheme="minorHAnsi"/>
        </w:rPr>
      </w:pPr>
    </w:p>
    <w:p w:rsidR="00B3039D" w:rsidRPr="00797F85" w:rsidRDefault="00B3039D" w:rsidP="00970D36">
      <w:pPr>
        <w:spacing w:line="276" w:lineRule="auto"/>
      </w:pPr>
      <w:r w:rsidRPr="00797F85">
        <w:t>Flexible Packages will not be provided for goods or services that are not identified</w:t>
      </w:r>
      <w:r w:rsidR="006F169B" w:rsidRPr="00797F85">
        <w:t xml:space="preserve"> in</w:t>
      </w:r>
      <w:r w:rsidRPr="00797F85">
        <w:t xml:space="preserve"> t</w:t>
      </w:r>
      <w:r w:rsidR="00B46544" w:rsidRPr="00797F85">
        <w:t xml:space="preserve">he Child and Family Action Plan </w:t>
      </w:r>
      <w:r w:rsidRPr="00797F85">
        <w:t>goals and activities</w:t>
      </w:r>
      <w:r w:rsidR="00801E1F" w:rsidRPr="00797F85">
        <w:t xml:space="preserve"> or </w:t>
      </w:r>
      <w:r w:rsidR="006F169B" w:rsidRPr="00797F85">
        <w:t xml:space="preserve">to </w:t>
      </w:r>
      <w:r w:rsidRPr="00797F85">
        <w:t>replace or duplicate supports that are available through other funding sources such as:</w:t>
      </w:r>
    </w:p>
    <w:p w:rsidR="00B3039D" w:rsidRPr="00797F85" w:rsidRDefault="00B3039D" w:rsidP="00970D36">
      <w:pPr>
        <w:pStyle w:val="ListParagraph"/>
        <w:numPr>
          <w:ilvl w:val="0"/>
          <w:numId w:val="16"/>
        </w:numPr>
        <w:spacing w:line="276" w:lineRule="auto"/>
      </w:pPr>
      <w:r w:rsidRPr="00797F85">
        <w:lastRenderedPageBreak/>
        <w:t>Family Violence</w:t>
      </w:r>
      <w:r w:rsidR="00DE4447">
        <w:t xml:space="preserve"> Flexible Funding</w:t>
      </w:r>
    </w:p>
    <w:p w:rsidR="00B3039D" w:rsidRDefault="00B3039D" w:rsidP="00970D36">
      <w:pPr>
        <w:pStyle w:val="ListParagraph"/>
        <w:numPr>
          <w:ilvl w:val="0"/>
          <w:numId w:val="16"/>
        </w:numPr>
        <w:spacing w:line="276" w:lineRule="auto"/>
      </w:pPr>
      <w:r w:rsidRPr="00797F85">
        <w:t>Local, State or Commonwealth programs (e.g. Safe at Home, Private Rental Access Programs)</w:t>
      </w:r>
      <w:r w:rsidR="000C0FFD" w:rsidRPr="00797F85">
        <w:t>.</w:t>
      </w:r>
    </w:p>
    <w:p w:rsidR="00DE4447" w:rsidRDefault="00DE4447" w:rsidP="00DE4447">
      <w:pPr>
        <w:spacing w:line="276" w:lineRule="auto"/>
      </w:pPr>
      <w:r>
        <w:t xml:space="preserve">All other </w:t>
      </w:r>
      <w:r w:rsidRPr="00DE4447">
        <w:t xml:space="preserve">funding options should be explored and exhausted prior to application </w:t>
      </w:r>
      <w:r>
        <w:t>(</w:t>
      </w:r>
      <w:r w:rsidRPr="00DE4447">
        <w:t xml:space="preserve">options previously utilised and </w:t>
      </w:r>
      <w:r w:rsidR="008735FE">
        <w:t>explored</w:t>
      </w:r>
      <w:r w:rsidRPr="00DE4447">
        <w:t xml:space="preserve"> should also be outlined in the application);</w:t>
      </w:r>
      <w:r w:rsidR="008735FE">
        <w:t xml:space="preserve"> see</w:t>
      </w:r>
      <w:r>
        <w:t xml:space="preserve"> </w:t>
      </w:r>
      <w:r w:rsidR="008735FE">
        <w:t xml:space="preserve">also </w:t>
      </w:r>
      <w:r w:rsidRPr="008735FE">
        <w:rPr>
          <w:b/>
        </w:rPr>
        <w:t xml:space="preserve">Attachment </w:t>
      </w:r>
      <w:r w:rsidR="000D7756">
        <w:rPr>
          <w:b/>
        </w:rPr>
        <w:t>1</w:t>
      </w:r>
      <w:r>
        <w:t>; Alternative Funding Options.</w:t>
      </w:r>
    </w:p>
    <w:p w:rsidR="00DE4447" w:rsidRDefault="00DE4447" w:rsidP="00EF6344">
      <w:pPr>
        <w:spacing w:line="276" w:lineRule="auto"/>
      </w:pPr>
      <w:r>
        <w:t xml:space="preserve">Finally, </w:t>
      </w:r>
      <w:r w:rsidRPr="00DE4447">
        <w:t xml:space="preserve">goods are services sought </w:t>
      </w:r>
      <w:r>
        <w:t>in package applications should represent t</w:t>
      </w:r>
      <w:r w:rsidRPr="00DE4447">
        <w:t xml:space="preserve">he most </w:t>
      </w:r>
      <w:r w:rsidRPr="00DE4447">
        <w:rPr>
          <w:u w:val="single"/>
        </w:rPr>
        <w:t>economical</w:t>
      </w:r>
      <w:r w:rsidRPr="00DE4447">
        <w:t xml:space="preserve"> option available</w:t>
      </w:r>
      <w:r>
        <w:t xml:space="preserve"> to ensure the greatest impact of funding use across the Bayside Peninsula Area.  </w:t>
      </w:r>
    </w:p>
    <w:p w:rsidR="00794AA5" w:rsidRDefault="00801E1F" w:rsidP="00794AA5">
      <w:pPr>
        <w:spacing w:line="276" w:lineRule="auto"/>
      </w:pPr>
      <w:r w:rsidRPr="00797F85">
        <w:t>Of high priority</w:t>
      </w:r>
      <w:r w:rsidR="00797F85" w:rsidRPr="00797F85">
        <w:t>,</w:t>
      </w:r>
      <w:r w:rsidRPr="00797F85">
        <w:t xml:space="preserve"> is the funding of goods or services that maximise protective factors for children and young people, ensuring their safety and wellbeing and the minimisation of risk factors. </w:t>
      </w:r>
    </w:p>
    <w:p w:rsidR="0020110B" w:rsidRPr="002B1F21" w:rsidRDefault="0020110B" w:rsidP="00794AA5">
      <w:pPr>
        <w:spacing w:line="276" w:lineRule="auto"/>
        <w:rPr>
          <w:color w:val="0095A3"/>
        </w:rPr>
      </w:pPr>
    </w:p>
    <w:p w:rsidR="00D63D04" w:rsidRPr="002B1F21" w:rsidRDefault="007A6697" w:rsidP="008240A4">
      <w:pPr>
        <w:pStyle w:val="ListParagraph"/>
        <w:numPr>
          <w:ilvl w:val="0"/>
          <w:numId w:val="28"/>
        </w:numPr>
        <w:spacing w:line="276" w:lineRule="auto"/>
        <w:rPr>
          <w:b/>
          <w:color w:val="0095A3"/>
        </w:rPr>
      </w:pPr>
      <w:r w:rsidRPr="002B1F21">
        <w:rPr>
          <w:b/>
          <w:color w:val="0095A3"/>
        </w:rPr>
        <w:t>Examples of Flexible Packages</w:t>
      </w:r>
    </w:p>
    <w:p w:rsidR="00E97575" w:rsidRPr="00797F85" w:rsidRDefault="00E97575" w:rsidP="00E97575">
      <w:pPr>
        <w:spacing w:line="276" w:lineRule="auto"/>
      </w:pPr>
      <w:r w:rsidRPr="00797F85">
        <w:t xml:space="preserve">Some examples of how flexible packages might be applied are noted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4809"/>
        <w:gridCol w:w="1856"/>
      </w:tblGrid>
      <w:tr w:rsidR="00043389" w:rsidRPr="00797F85" w:rsidTr="00F707A4">
        <w:trPr>
          <w:tblHeader/>
        </w:trPr>
        <w:tc>
          <w:tcPr>
            <w:tcW w:w="0" w:type="auto"/>
          </w:tcPr>
          <w:p w:rsidR="00043389" w:rsidRPr="00797F85" w:rsidRDefault="00043389" w:rsidP="00043389">
            <w:pPr>
              <w:spacing w:line="276" w:lineRule="auto"/>
              <w:rPr>
                <w:b/>
              </w:rPr>
            </w:pPr>
            <w:r w:rsidRPr="00797F85">
              <w:rPr>
                <w:b/>
              </w:rPr>
              <w:t>Concern</w:t>
            </w:r>
          </w:p>
        </w:tc>
        <w:tc>
          <w:tcPr>
            <w:tcW w:w="0" w:type="auto"/>
          </w:tcPr>
          <w:p w:rsidR="00043389" w:rsidRPr="00797F85" w:rsidRDefault="00043389" w:rsidP="00043389">
            <w:pPr>
              <w:spacing w:line="276" w:lineRule="auto"/>
              <w:rPr>
                <w:b/>
              </w:rPr>
            </w:pPr>
            <w:r w:rsidRPr="00797F85">
              <w:rPr>
                <w:b/>
              </w:rPr>
              <w:t>Flexible funding use</w:t>
            </w:r>
          </w:p>
        </w:tc>
        <w:tc>
          <w:tcPr>
            <w:tcW w:w="0" w:type="auto"/>
          </w:tcPr>
          <w:p w:rsidR="00043389" w:rsidRPr="00797F85" w:rsidRDefault="00043389" w:rsidP="00043389">
            <w:pPr>
              <w:spacing w:line="276" w:lineRule="auto"/>
              <w:rPr>
                <w:b/>
              </w:rPr>
            </w:pPr>
            <w:r w:rsidRPr="00797F85">
              <w:rPr>
                <w:b/>
              </w:rPr>
              <w:t xml:space="preserve">Outcome indicator </w:t>
            </w:r>
          </w:p>
        </w:tc>
      </w:tr>
      <w:tr w:rsidR="00043389" w:rsidRPr="00797F85" w:rsidTr="00F707A4">
        <w:tc>
          <w:tcPr>
            <w:tcW w:w="0" w:type="auto"/>
          </w:tcPr>
          <w:p w:rsidR="00043389" w:rsidRPr="00797F85" w:rsidRDefault="00043389" w:rsidP="00043389">
            <w:pPr>
              <w:spacing w:line="276" w:lineRule="auto"/>
            </w:pPr>
            <w:r w:rsidRPr="00797F85">
              <w:t>Parents’ ability to safely transport the children to school</w:t>
            </w:r>
          </w:p>
        </w:tc>
        <w:tc>
          <w:tcPr>
            <w:tcW w:w="0" w:type="auto"/>
          </w:tcPr>
          <w:p w:rsidR="00043389" w:rsidRPr="00797F85" w:rsidRDefault="00043389" w:rsidP="00C80D3F">
            <w:pPr>
              <w:spacing w:line="276" w:lineRule="auto"/>
            </w:pPr>
            <w:r w:rsidRPr="00797F85">
              <w:t xml:space="preserve">Pay for mechanical </w:t>
            </w:r>
            <w:r w:rsidR="00C80D3F">
              <w:t>repair</w:t>
            </w:r>
            <w:r w:rsidRPr="00797F85">
              <w:t xml:space="preserve"> of the family car to get it operational, thus enabling the parents to drive the children to school</w:t>
            </w:r>
            <w:r w:rsidR="00C80D3F">
              <w:t>.</w:t>
            </w:r>
          </w:p>
        </w:tc>
        <w:tc>
          <w:tcPr>
            <w:tcW w:w="0" w:type="auto"/>
          </w:tcPr>
          <w:p w:rsidR="00043389" w:rsidRPr="00797F85" w:rsidRDefault="00043389" w:rsidP="00043389">
            <w:pPr>
              <w:spacing w:line="276" w:lineRule="auto"/>
            </w:pPr>
            <w:r w:rsidRPr="00797F85">
              <w:t xml:space="preserve">Learning &amp; Education  </w:t>
            </w:r>
          </w:p>
        </w:tc>
      </w:tr>
      <w:tr w:rsidR="00043389" w:rsidRPr="00797F85" w:rsidTr="00F707A4">
        <w:tc>
          <w:tcPr>
            <w:tcW w:w="0" w:type="auto"/>
          </w:tcPr>
          <w:p w:rsidR="00043389" w:rsidRPr="00797F85" w:rsidRDefault="00043389" w:rsidP="00043389">
            <w:pPr>
              <w:spacing w:line="276" w:lineRule="auto"/>
            </w:pPr>
            <w:r w:rsidRPr="00797F85">
              <w:t>Hoarding and unsafe physical home environment</w:t>
            </w:r>
          </w:p>
        </w:tc>
        <w:tc>
          <w:tcPr>
            <w:tcW w:w="0" w:type="auto"/>
          </w:tcPr>
          <w:p w:rsidR="00043389" w:rsidRPr="00797F85" w:rsidRDefault="00043389" w:rsidP="00043389">
            <w:pPr>
              <w:spacing w:line="276" w:lineRule="auto"/>
            </w:pPr>
            <w:r w:rsidRPr="00797F85">
              <w:t>Hire of rubbish skip and a cleaner to clean and declutter the house, so that the children can live in and learn about the benefits of a physically safe and hygienic home environment.</w:t>
            </w:r>
          </w:p>
        </w:tc>
        <w:tc>
          <w:tcPr>
            <w:tcW w:w="0" w:type="auto"/>
          </w:tcPr>
          <w:p w:rsidR="00043389" w:rsidRPr="00797F85" w:rsidRDefault="00043389" w:rsidP="00043389">
            <w:pPr>
              <w:spacing w:line="276" w:lineRule="auto"/>
            </w:pPr>
            <w:r w:rsidRPr="00797F85">
              <w:t xml:space="preserve">Homes are suitable and stable </w:t>
            </w:r>
          </w:p>
          <w:p w:rsidR="00043389" w:rsidRPr="00797F85" w:rsidRDefault="00043389" w:rsidP="00043389">
            <w:pPr>
              <w:spacing w:line="276" w:lineRule="auto"/>
            </w:pPr>
            <w:r w:rsidRPr="00797F85">
              <w:t xml:space="preserve"> </w:t>
            </w:r>
          </w:p>
        </w:tc>
      </w:tr>
      <w:tr w:rsidR="00043389" w:rsidRPr="00797F85" w:rsidTr="00F707A4">
        <w:tc>
          <w:tcPr>
            <w:tcW w:w="0" w:type="auto"/>
          </w:tcPr>
          <w:p w:rsidR="00043389" w:rsidRPr="00797F85" w:rsidRDefault="00043389" w:rsidP="00043389">
            <w:pPr>
              <w:spacing w:line="276" w:lineRule="auto"/>
            </w:pPr>
            <w:r w:rsidRPr="00797F85">
              <w:t>At risk of social isolation</w:t>
            </w:r>
          </w:p>
        </w:tc>
        <w:tc>
          <w:tcPr>
            <w:tcW w:w="0" w:type="auto"/>
          </w:tcPr>
          <w:p w:rsidR="00043389" w:rsidRPr="00797F85" w:rsidRDefault="00043389" w:rsidP="00043389">
            <w:pPr>
              <w:spacing w:line="276" w:lineRule="auto"/>
            </w:pPr>
            <w:r w:rsidRPr="00797F85">
              <w:t>Pay for registration fees to a sporting club or music lessons to improve a young person’s connection to community and reduce social isolation.</w:t>
            </w:r>
          </w:p>
        </w:tc>
        <w:tc>
          <w:tcPr>
            <w:tcW w:w="0" w:type="auto"/>
          </w:tcPr>
          <w:p w:rsidR="00043389" w:rsidRPr="00797F85" w:rsidRDefault="00043389" w:rsidP="00043389">
            <w:pPr>
              <w:spacing w:line="276" w:lineRule="auto"/>
            </w:pPr>
            <w:r w:rsidRPr="00797F85">
              <w:t>Social involvement / isolation</w:t>
            </w:r>
            <w:r w:rsidRPr="00797F85" w:rsidDel="00C75889">
              <w:t xml:space="preserve"> </w:t>
            </w:r>
          </w:p>
        </w:tc>
      </w:tr>
      <w:tr w:rsidR="00043389" w:rsidRPr="00797F85" w:rsidTr="00F707A4">
        <w:tc>
          <w:tcPr>
            <w:tcW w:w="0" w:type="auto"/>
          </w:tcPr>
          <w:p w:rsidR="00043389" w:rsidRPr="00797F85" w:rsidRDefault="00043389" w:rsidP="00043389">
            <w:pPr>
              <w:spacing w:line="276" w:lineRule="auto"/>
            </w:pPr>
            <w:r w:rsidRPr="00797F85">
              <w:t>Parents’ alcohol and drug use impacting upon parenting capacity</w:t>
            </w:r>
          </w:p>
        </w:tc>
        <w:tc>
          <w:tcPr>
            <w:tcW w:w="0" w:type="auto"/>
          </w:tcPr>
          <w:p w:rsidR="00043389" w:rsidRPr="00797F85" w:rsidRDefault="00043389" w:rsidP="00043389">
            <w:pPr>
              <w:spacing w:line="276" w:lineRule="auto"/>
            </w:pPr>
            <w:r w:rsidRPr="00797F85">
              <w:t xml:space="preserve">Purchase specialist service – where wait lists for local drug and alcohol counselling are too long – to counsel and educate parents about managing drug use so as to improve parenting capability. </w:t>
            </w:r>
          </w:p>
        </w:tc>
        <w:tc>
          <w:tcPr>
            <w:tcW w:w="0" w:type="auto"/>
          </w:tcPr>
          <w:p w:rsidR="00043389" w:rsidRPr="00797F85" w:rsidRDefault="00043389" w:rsidP="00043389">
            <w:pPr>
              <w:spacing w:line="276" w:lineRule="auto"/>
            </w:pPr>
            <w:r w:rsidRPr="00797F85">
              <w:t>Alcohol and other drug use.</w:t>
            </w:r>
          </w:p>
          <w:p w:rsidR="00043389" w:rsidRPr="00797F85" w:rsidRDefault="00043389" w:rsidP="00043389">
            <w:pPr>
              <w:spacing w:line="276" w:lineRule="auto"/>
            </w:pPr>
          </w:p>
        </w:tc>
      </w:tr>
      <w:tr w:rsidR="00043389" w:rsidRPr="00797F85" w:rsidTr="00F707A4">
        <w:tc>
          <w:tcPr>
            <w:tcW w:w="0" w:type="auto"/>
          </w:tcPr>
          <w:p w:rsidR="00043389" w:rsidRPr="00797F85" w:rsidRDefault="00043389" w:rsidP="00043389">
            <w:pPr>
              <w:spacing w:line="276" w:lineRule="auto"/>
            </w:pPr>
            <w:r w:rsidRPr="00797F85">
              <w:t>Child is suffering following a recent traumatic event</w:t>
            </w:r>
          </w:p>
        </w:tc>
        <w:tc>
          <w:tcPr>
            <w:tcW w:w="0" w:type="auto"/>
          </w:tcPr>
          <w:p w:rsidR="00043389" w:rsidRPr="00797F85" w:rsidRDefault="00043389" w:rsidP="00043389">
            <w:pPr>
              <w:spacing w:line="276" w:lineRule="auto"/>
            </w:pPr>
            <w:r w:rsidRPr="00797F85">
              <w:t xml:space="preserve">Purchase specialist trauma counselling – where this service is not available through Medicare via GP referral– to assist the child to manage their mental health. </w:t>
            </w:r>
          </w:p>
        </w:tc>
        <w:tc>
          <w:tcPr>
            <w:tcW w:w="0" w:type="auto"/>
          </w:tcPr>
          <w:p w:rsidR="00043389" w:rsidRPr="00797F85" w:rsidRDefault="00043389" w:rsidP="00043389">
            <w:pPr>
              <w:spacing w:line="276" w:lineRule="auto"/>
            </w:pPr>
            <w:r w:rsidRPr="00797F85">
              <w:t xml:space="preserve">Healing &amp; growth following trauma </w:t>
            </w:r>
          </w:p>
        </w:tc>
      </w:tr>
      <w:tr w:rsidR="00043389" w:rsidRPr="00797F85" w:rsidTr="00F707A4">
        <w:tc>
          <w:tcPr>
            <w:tcW w:w="0" w:type="auto"/>
          </w:tcPr>
          <w:p w:rsidR="00043389" w:rsidRPr="00797F85" w:rsidRDefault="00043389" w:rsidP="00043389">
            <w:pPr>
              <w:spacing w:line="276" w:lineRule="auto"/>
            </w:pPr>
            <w:r w:rsidRPr="00797F85">
              <w:t>Lack of financial stability</w:t>
            </w:r>
          </w:p>
        </w:tc>
        <w:tc>
          <w:tcPr>
            <w:tcW w:w="0" w:type="auto"/>
          </w:tcPr>
          <w:p w:rsidR="00043389" w:rsidRPr="00797F85" w:rsidRDefault="00043389" w:rsidP="00043389">
            <w:pPr>
              <w:spacing w:line="276" w:lineRule="auto"/>
            </w:pPr>
            <w:r w:rsidRPr="00797F85">
              <w:t>Driving lessons to enable mother to drive a car to a place of employment.</w:t>
            </w:r>
          </w:p>
        </w:tc>
        <w:tc>
          <w:tcPr>
            <w:tcW w:w="0" w:type="auto"/>
          </w:tcPr>
          <w:p w:rsidR="00043389" w:rsidRPr="00797F85" w:rsidRDefault="00043389" w:rsidP="00043389">
            <w:pPr>
              <w:spacing w:line="276" w:lineRule="auto"/>
            </w:pPr>
            <w:r w:rsidRPr="00797F85">
              <w:t xml:space="preserve">Participate in employment and training </w:t>
            </w:r>
          </w:p>
        </w:tc>
      </w:tr>
    </w:tbl>
    <w:p w:rsidR="00F8252E" w:rsidRDefault="00F8252E" w:rsidP="00511C09">
      <w:pPr>
        <w:spacing w:after="0" w:line="240" w:lineRule="auto"/>
      </w:pPr>
    </w:p>
    <w:p w:rsidR="00511C09" w:rsidRPr="00797F85" w:rsidRDefault="00511C09" w:rsidP="00511C09">
      <w:pPr>
        <w:spacing w:after="0" w:line="240" w:lineRule="auto"/>
      </w:pPr>
      <w:r w:rsidRPr="00797F85">
        <w:t>Other examples of flexible funding use for goods and services include:</w:t>
      </w:r>
    </w:p>
    <w:p w:rsidR="00511C09" w:rsidRPr="00797F85" w:rsidRDefault="00511C09" w:rsidP="00511C09">
      <w:pPr>
        <w:pStyle w:val="ListParagraph"/>
        <w:numPr>
          <w:ilvl w:val="0"/>
          <w:numId w:val="21"/>
        </w:numPr>
        <w:spacing w:after="0" w:line="240" w:lineRule="auto"/>
      </w:pPr>
      <w:r w:rsidRPr="00797F85">
        <w:t>childcare or respite costs</w:t>
      </w:r>
    </w:p>
    <w:p w:rsidR="00511C09" w:rsidRPr="00797F85" w:rsidRDefault="00511C09" w:rsidP="00511C09">
      <w:pPr>
        <w:pStyle w:val="ListParagraph"/>
        <w:numPr>
          <w:ilvl w:val="0"/>
          <w:numId w:val="21"/>
        </w:numPr>
        <w:spacing w:after="0" w:line="240" w:lineRule="auto"/>
      </w:pPr>
      <w:r w:rsidRPr="00797F85">
        <w:lastRenderedPageBreak/>
        <w:t>specialist assessments for children or specialist interventions where these are not readily accessible</w:t>
      </w:r>
    </w:p>
    <w:p w:rsidR="00511C09" w:rsidRPr="00797F85" w:rsidRDefault="00511C09" w:rsidP="00511C09">
      <w:pPr>
        <w:pStyle w:val="ListParagraph"/>
        <w:numPr>
          <w:ilvl w:val="0"/>
          <w:numId w:val="21"/>
        </w:numPr>
        <w:spacing w:after="0" w:line="240" w:lineRule="auto"/>
      </w:pPr>
      <w:r w:rsidRPr="00797F85">
        <w:t>assistance to meet dental costs or specific medical interventions for the child and family</w:t>
      </w:r>
    </w:p>
    <w:p w:rsidR="00511C09" w:rsidRPr="00797F85" w:rsidRDefault="00511C09" w:rsidP="00511C09">
      <w:pPr>
        <w:pStyle w:val="ListParagraph"/>
        <w:numPr>
          <w:ilvl w:val="0"/>
          <w:numId w:val="21"/>
        </w:numPr>
        <w:spacing w:after="0" w:line="240" w:lineRule="auto"/>
      </w:pPr>
      <w:r w:rsidRPr="00797F85">
        <w:t>one-off payments to address immediate safety, stability and or wellbeing issues within the client’s home</w:t>
      </w:r>
    </w:p>
    <w:p w:rsidR="00511C09" w:rsidRPr="00797F85" w:rsidRDefault="00511C09" w:rsidP="00511C09">
      <w:pPr>
        <w:pStyle w:val="ListParagraph"/>
        <w:numPr>
          <w:ilvl w:val="0"/>
          <w:numId w:val="21"/>
        </w:numPr>
        <w:spacing w:after="0" w:line="240" w:lineRule="auto"/>
      </w:pPr>
      <w:r w:rsidRPr="00797F85">
        <w:t>purchasing baby clothes, nursery and play equipment</w:t>
      </w:r>
    </w:p>
    <w:p w:rsidR="00511C09" w:rsidRPr="00797F85" w:rsidRDefault="00511C09" w:rsidP="00511C09">
      <w:pPr>
        <w:pStyle w:val="ListParagraph"/>
        <w:numPr>
          <w:ilvl w:val="0"/>
          <w:numId w:val="21"/>
        </w:numPr>
        <w:spacing w:after="0" w:line="240" w:lineRule="auto"/>
      </w:pPr>
      <w:r w:rsidRPr="00797F85">
        <w:t>assistance with a utilities bill or purchasing material aid</w:t>
      </w:r>
    </w:p>
    <w:p w:rsidR="00511C09" w:rsidRPr="00797F85" w:rsidRDefault="00511C09" w:rsidP="00511C09">
      <w:pPr>
        <w:pStyle w:val="ListParagraph"/>
        <w:numPr>
          <w:ilvl w:val="0"/>
          <w:numId w:val="21"/>
        </w:numPr>
        <w:spacing w:after="0" w:line="240" w:lineRule="auto"/>
      </w:pPr>
      <w:r w:rsidRPr="00797F85">
        <w:t>assistance with rental brokerage</w:t>
      </w:r>
    </w:p>
    <w:p w:rsidR="003A0602" w:rsidRDefault="00511C09" w:rsidP="00797F85">
      <w:pPr>
        <w:pStyle w:val="ListParagraph"/>
        <w:numPr>
          <w:ilvl w:val="0"/>
          <w:numId w:val="21"/>
        </w:numPr>
        <w:spacing w:after="0" w:line="240" w:lineRule="auto"/>
      </w:pPr>
      <w:r w:rsidRPr="00797F85">
        <w:t>assistance with educational assessments, tutors, training or educational costs.</w:t>
      </w:r>
    </w:p>
    <w:p w:rsidR="008240A4" w:rsidRDefault="008240A4" w:rsidP="008240A4">
      <w:pPr>
        <w:spacing w:after="0" w:line="240" w:lineRule="auto"/>
      </w:pPr>
    </w:p>
    <w:p w:rsidR="008240A4" w:rsidRDefault="008240A4" w:rsidP="008240A4">
      <w:pPr>
        <w:pStyle w:val="DHHSbullet1lastline"/>
        <w:numPr>
          <w:ilvl w:val="0"/>
          <w:numId w:val="0"/>
        </w:numPr>
        <w:spacing w:line="276" w:lineRule="auto"/>
        <w:ind w:left="284" w:hanging="284"/>
        <w:rPr>
          <w:rFonts w:asciiTheme="minorHAnsi" w:eastAsia="Times New Roman" w:hAnsiTheme="minorHAnsi"/>
          <w:i/>
          <w:sz w:val="22"/>
          <w:szCs w:val="22"/>
        </w:rPr>
      </w:pPr>
      <w:r>
        <w:rPr>
          <w:rFonts w:asciiTheme="minorHAnsi" w:eastAsia="Times New Roman" w:hAnsiTheme="minorHAnsi"/>
          <w:i/>
          <w:sz w:val="22"/>
          <w:szCs w:val="22"/>
        </w:rPr>
        <w:t xml:space="preserve">** Noting that goods or services sought should provide aim to provide enduring benefit to safety and wellbeing, rather than temporary relief. </w:t>
      </w:r>
    </w:p>
    <w:p w:rsidR="008240A4" w:rsidRDefault="008240A4" w:rsidP="008240A4">
      <w:pPr>
        <w:spacing w:after="0" w:line="240" w:lineRule="auto"/>
      </w:pPr>
    </w:p>
    <w:p w:rsidR="008240A4" w:rsidRPr="008240A4" w:rsidRDefault="008240A4" w:rsidP="008240A4">
      <w:pPr>
        <w:spacing w:after="0" w:line="240" w:lineRule="auto"/>
        <w:rPr>
          <w:b/>
        </w:rPr>
      </w:pPr>
    </w:p>
    <w:p w:rsidR="008240A4" w:rsidRPr="008240A4" w:rsidRDefault="008240A4" w:rsidP="008240A4">
      <w:pPr>
        <w:spacing w:after="0" w:line="240" w:lineRule="auto"/>
        <w:rPr>
          <w:b/>
        </w:rPr>
      </w:pPr>
      <w:r w:rsidRPr="008240A4">
        <w:rPr>
          <w:b/>
        </w:rPr>
        <w:t>Additional FSP (COVID provisions) include:</w:t>
      </w:r>
    </w:p>
    <w:p w:rsidR="008240A4" w:rsidRDefault="008240A4" w:rsidP="008240A4">
      <w:pPr>
        <w:spacing w:after="0" w:line="240" w:lineRule="auto"/>
      </w:pPr>
    </w:p>
    <w:p w:rsidR="008240A4" w:rsidRDefault="008240A4" w:rsidP="008240A4">
      <w:pPr>
        <w:pStyle w:val="ListParagraph"/>
        <w:numPr>
          <w:ilvl w:val="0"/>
          <w:numId w:val="21"/>
        </w:numPr>
        <w:spacing w:after="0" w:line="240" w:lineRule="auto"/>
      </w:pPr>
      <w:r>
        <w:t xml:space="preserve">support with one off debt repayment </w:t>
      </w:r>
    </w:p>
    <w:p w:rsidR="008240A4" w:rsidRDefault="008240A4" w:rsidP="008240A4">
      <w:pPr>
        <w:pStyle w:val="ListParagraph"/>
        <w:numPr>
          <w:ilvl w:val="0"/>
          <w:numId w:val="21"/>
        </w:numPr>
        <w:spacing w:after="0" w:line="240" w:lineRule="auto"/>
      </w:pPr>
      <w:r>
        <w:t xml:space="preserve">rental arrears and utility bills </w:t>
      </w:r>
    </w:p>
    <w:p w:rsidR="008240A4" w:rsidRDefault="008240A4" w:rsidP="008240A4">
      <w:pPr>
        <w:pStyle w:val="ListParagraph"/>
        <w:numPr>
          <w:ilvl w:val="0"/>
          <w:numId w:val="21"/>
        </w:numPr>
        <w:spacing w:after="0" w:line="240" w:lineRule="auto"/>
      </w:pPr>
      <w:r>
        <w:t xml:space="preserve">food vouchers (excluding alcohol) </w:t>
      </w:r>
    </w:p>
    <w:p w:rsidR="008240A4" w:rsidRDefault="008240A4" w:rsidP="008240A4">
      <w:pPr>
        <w:pStyle w:val="ListParagraph"/>
        <w:numPr>
          <w:ilvl w:val="0"/>
          <w:numId w:val="21"/>
        </w:numPr>
        <w:spacing w:after="0" w:line="240" w:lineRule="auto"/>
      </w:pPr>
    </w:p>
    <w:p w:rsidR="008240A4" w:rsidRPr="00797F85" w:rsidRDefault="008240A4" w:rsidP="008240A4">
      <w:pPr>
        <w:spacing w:after="0" w:line="240" w:lineRule="auto"/>
      </w:pPr>
      <w:r>
        <w:t xml:space="preserve">** in this context of the COVID-19 pandemic, temporary relief is acceptable as long as longer term planning is engaged in with families, and they are aware that this funding not considered an ongoing option beyond the pandemic. </w:t>
      </w:r>
    </w:p>
    <w:p w:rsidR="003A0602" w:rsidRDefault="003A0602" w:rsidP="007232E8">
      <w:pPr>
        <w:pStyle w:val="DHHSbullet1lastline"/>
        <w:numPr>
          <w:ilvl w:val="0"/>
          <w:numId w:val="0"/>
        </w:numPr>
        <w:spacing w:line="276" w:lineRule="auto"/>
        <w:ind w:left="284" w:hanging="284"/>
        <w:rPr>
          <w:rFonts w:asciiTheme="minorHAnsi" w:eastAsia="Times New Roman" w:hAnsiTheme="minorHAnsi"/>
          <w:i/>
          <w:sz w:val="22"/>
          <w:szCs w:val="22"/>
        </w:rPr>
      </w:pPr>
    </w:p>
    <w:p w:rsidR="0020110B" w:rsidRPr="00797F85" w:rsidRDefault="0020110B" w:rsidP="007232E8">
      <w:pPr>
        <w:pStyle w:val="DHHSbullet1lastline"/>
        <w:numPr>
          <w:ilvl w:val="0"/>
          <w:numId w:val="0"/>
        </w:numPr>
        <w:spacing w:line="276" w:lineRule="auto"/>
        <w:ind w:left="284" w:hanging="284"/>
        <w:rPr>
          <w:rFonts w:asciiTheme="minorHAnsi" w:eastAsia="Times New Roman" w:hAnsiTheme="minorHAnsi"/>
          <w:i/>
          <w:sz w:val="22"/>
          <w:szCs w:val="22"/>
        </w:rPr>
      </w:pPr>
    </w:p>
    <w:p w:rsidR="005704A5" w:rsidRPr="00441EED" w:rsidRDefault="00C40180" w:rsidP="008240A4">
      <w:pPr>
        <w:pStyle w:val="ListParagraph"/>
        <w:numPr>
          <w:ilvl w:val="0"/>
          <w:numId w:val="28"/>
        </w:numPr>
        <w:spacing w:line="276" w:lineRule="auto"/>
        <w:rPr>
          <w:b/>
          <w:color w:val="0095A3"/>
        </w:rPr>
      </w:pPr>
      <w:r w:rsidRPr="00441EED">
        <w:rPr>
          <w:b/>
          <w:color w:val="0095A3"/>
        </w:rPr>
        <w:t>Decision Making</w:t>
      </w:r>
      <w:r w:rsidR="005704A5" w:rsidRPr="00441EED">
        <w:rPr>
          <w:b/>
          <w:color w:val="0095A3"/>
        </w:rPr>
        <w:t xml:space="preserve"> </w:t>
      </w:r>
    </w:p>
    <w:p w:rsidR="00E90369" w:rsidRPr="008240A4" w:rsidRDefault="005704A5" w:rsidP="005704A5">
      <w:pPr>
        <w:spacing w:line="276" w:lineRule="auto"/>
        <w:rPr>
          <w:b/>
        </w:rPr>
      </w:pPr>
      <w:r w:rsidRPr="008240A4">
        <w:rPr>
          <w:b/>
        </w:rPr>
        <w:t xml:space="preserve">5.1 Approval of Applications </w:t>
      </w:r>
    </w:p>
    <w:p w:rsidR="00C40180" w:rsidRDefault="00E90369" w:rsidP="00E90369">
      <w:pPr>
        <w:spacing w:line="276" w:lineRule="auto"/>
      </w:pPr>
      <w:r>
        <w:t>The Alliance P</w:t>
      </w:r>
      <w:r w:rsidR="008240A4">
        <w:t>artnership Facilitator</w:t>
      </w:r>
      <w:r>
        <w:t xml:space="preserve"> reviews and approves applications</w:t>
      </w:r>
      <w:r w:rsidR="008240A4">
        <w:t xml:space="preserve"> for Flexible Support Packages (COVID provisions)</w:t>
      </w:r>
      <w:r>
        <w:t xml:space="preserve"> up to the Alliance agreed maximum package amount, </w:t>
      </w:r>
      <w:r w:rsidR="00E235CC">
        <w:rPr>
          <w:i/>
        </w:rPr>
        <w:t>currently $</w:t>
      </w:r>
      <w:r w:rsidR="008240A4">
        <w:rPr>
          <w:i/>
        </w:rPr>
        <w:t xml:space="preserve">1500. </w:t>
      </w:r>
      <w:r w:rsidR="00EF6344">
        <w:t>Decisions are made according to the</w:t>
      </w:r>
      <w:r w:rsidR="00F8252E">
        <w:t>se</w:t>
      </w:r>
      <w:r w:rsidR="00EF6344">
        <w:t xml:space="preserve"> Guidelines.</w:t>
      </w:r>
    </w:p>
    <w:p w:rsidR="00E90369" w:rsidRDefault="00E235CC" w:rsidP="00E90369">
      <w:pPr>
        <w:spacing w:line="276" w:lineRule="auto"/>
      </w:pPr>
      <w:r>
        <w:t>Applications in excess of $</w:t>
      </w:r>
      <w:r w:rsidR="008240A4">
        <w:t>1500</w:t>
      </w:r>
      <w:r w:rsidR="00C47F87">
        <w:t>, but not exceeding $</w:t>
      </w:r>
      <w:r w:rsidR="008240A4">
        <w:t>2000</w:t>
      </w:r>
      <w:r w:rsidR="00442D66">
        <w:t>,</w:t>
      </w:r>
      <w:r w:rsidR="00C47F87">
        <w:t xml:space="preserve"> require secondary endorsement by the relevant agency </w:t>
      </w:r>
      <w:r w:rsidR="0020110B">
        <w:t>Program Manager (or equivalent) in writing.</w:t>
      </w:r>
    </w:p>
    <w:p w:rsidR="00C47F87" w:rsidRDefault="00C47F87" w:rsidP="00E90369">
      <w:pPr>
        <w:spacing w:line="276" w:lineRule="auto"/>
      </w:pPr>
      <w:r>
        <w:t>Applications in excess of $</w:t>
      </w:r>
      <w:r w:rsidR="008240A4">
        <w:t xml:space="preserve">2000 </w:t>
      </w:r>
      <w:r>
        <w:t>require approval of the Deputy Chair of the Child and Family Services Alliance.</w:t>
      </w:r>
      <w:r w:rsidR="0020110B">
        <w:t xml:space="preserve">  This provides some independent oversight from the Facilitating Partner</w:t>
      </w:r>
      <w:r w:rsidR="00F8252E">
        <w:t xml:space="preserve"> (Anglicare Victoria), of whom employs the Partnership </w:t>
      </w:r>
      <w:r w:rsidR="008240A4">
        <w:t xml:space="preserve">Facilitator. </w:t>
      </w:r>
    </w:p>
    <w:p w:rsidR="005704A5" w:rsidRDefault="00C47F87" w:rsidP="00E90369">
      <w:pPr>
        <w:spacing w:line="276" w:lineRule="auto"/>
        <w:rPr>
          <w:i/>
        </w:rPr>
      </w:pPr>
      <w:r w:rsidRPr="00794AA5">
        <w:rPr>
          <w:i/>
        </w:rPr>
        <w:t xml:space="preserve">The above financial decision making applies to single applications, as well as to subsequent applications.  </w:t>
      </w:r>
      <w:r w:rsidR="00794AA5" w:rsidRPr="00794AA5">
        <w:rPr>
          <w:i/>
        </w:rPr>
        <w:t>The financial value of a subsequent application</w:t>
      </w:r>
      <w:r w:rsidRPr="00794AA5">
        <w:rPr>
          <w:i/>
        </w:rPr>
        <w:t xml:space="preserve"> </w:t>
      </w:r>
      <w:r w:rsidR="00794AA5" w:rsidRPr="00794AA5">
        <w:rPr>
          <w:i/>
        </w:rPr>
        <w:t>is added to the previous approved package total</w:t>
      </w:r>
      <w:r w:rsidR="00794AA5">
        <w:rPr>
          <w:i/>
        </w:rPr>
        <w:t xml:space="preserve"> and t</w:t>
      </w:r>
      <w:r w:rsidR="00794AA5" w:rsidRPr="00794AA5">
        <w:rPr>
          <w:i/>
        </w:rPr>
        <w:t>he indicative sum value is subject to the decision making.</w:t>
      </w:r>
    </w:p>
    <w:p w:rsidR="005704A5" w:rsidRPr="0033651A" w:rsidRDefault="005704A5" w:rsidP="0033651A">
      <w:pPr>
        <w:pStyle w:val="ListParagraph"/>
        <w:numPr>
          <w:ilvl w:val="1"/>
          <w:numId w:val="33"/>
        </w:numPr>
        <w:spacing w:line="276" w:lineRule="auto"/>
        <w:rPr>
          <w:b/>
        </w:rPr>
      </w:pPr>
      <w:r w:rsidRPr="0033651A">
        <w:rPr>
          <w:b/>
        </w:rPr>
        <w:t xml:space="preserve">Non-Approval of Applications </w:t>
      </w:r>
    </w:p>
    <w:p w:rsidR="005704A5" w:rsidRDefault="008240A4" w:rsidP="00E90369">
      <w:pPr>
        <w:spacing w:line="276" w:lineRule="auto"/>
      </w:pPr>
      <w:r>
        <w:t>Where the Partnership Facilitator</w:t>
      </w:r>
      <w:r w:rsidR="005704A5" w:rsidRPr="005704A5">
        <w:t xml:space="preserve"> makes a decision of non-approval</w:t>
      </w:r>
      <w:r w:rsidR="00F8252E">
        <w:t xml:space="preserve"> regarding an application for Alliance Flexible Funding,</w:t>
      </w:r>
      <w:r w:rsidR="005704A5" w:rsidRPr="005704A5">
        <w:t xml:space="preserve"> this will communicated in writing to the Worker and agency Team Leader of equivalent.  This </w:t>
      </w:r>
      <w:r w:rsidR="00F8252E">
        <w:t>communication</w:t>
      </w:r>
      <w:r w:rsidR="005704A5" w:rsidRPr="005704A5">
        <w:t xml:space="preserve"> will be accompanied </w:t>
      </w:r>
      <w:r w:rsidR="00F8252E">
        <w:t>by</w:t>
      </w:r>
      <w:r w:rsidR="005704A5" w:rsidRPr="005704A5">
        <w:t xml:space="preserve"> a rationale</w:t>
      </w:r>
      <w:r w:rsidR="00F8252E">
        <w:t xml:space="preserve"> and will reference the Guidelines that have informed the decision making.</w:t>
      </w:r>
    </w:p>
    <w:p w:rsidR="005704A5" w:rsidRPr="008240A4" w:rsidRDefault="00F8252E" w:rsidP="00E90369">
      <w:pPr>
        <w:spacing w:line="276" w:lineRule="auto"/>
      </w:pPr>
      <w:r>
        <w:lastRenderedPageBreak/>
        <w:t>Agencies may seek to have a non-approval decision reviewed.  In this case, the relevant Program Manager or equivalent will communicate this with the Partnership</w:t>
      </w:r>
      <w:r w:rsidR="008240A4">
        <w:t xml:space="preserve"> Facilitator</w:t>
      </w:r>
      <w:r>
        <w:t xml:space="preserve"> and </w:t>
      </w:r>
      <w:r w:rsidR="000D7756">
        <w:t>direct negotiation with occur.</w:t>
      </w:r>
      <w:r>
        <w:t xml:space="preserve">  Dispute resolution processes are articulated in the</w:t>
      </w:r>
      <w:r w:rsidR="000D7756">
        <w:t xml:space="preserve"> Bayside Peninsula Child and Family </w:t>
      </w:r>
      <w:r w:rsidRPr="008240A4">
        <w:t>Alliance Memorandum of Understanding</w:t>
      </w:r>
      <w:r w:rsidR="000D7756" w:rsidRPr="008240A4">
        <w:t>.</w:t>
      </w:r>
    </w:p>
    <w:p w:rsidR="005704A5" w:rsidRPr="008240A4" w:rsidRDefault="005704A5" w:rsidP="00E90369">
      <w:pPr>
        <w:spacing w:line="276" w:lineRule="auto"/>
      </w:pPr>
      <w:r w:rsidRPr="008240A4">
        <w:rPr>
          <w:b/>
        </w:rPr>
        <w:t>5.3 Guideline Decisions</w:t>
      </w:r>
    </w:p>
    <w:p w:rsidR="00794AA5" w:rsidRDefault="00794AA5" w:rsidP="00E90369">
      <w:pPr>
        <w:spacing w:line="276" w:lineRule="auto"/>
      </w:pPr>
      <w:r>
        <w:t xml:space="preserve">Flexible Funding </w:t>
      </w:r>
      <w:r w:rsidR="00A608FC">
        <w:t xml:space="preserve">decision making is the responsibility of the Management Group of the Bayside Peninsula Child and Family Services Alliance.  Decision making utilises to consensus decision making model, as outlined in the Memorandum of Understanding.  </w:t>
      </w:r>
      <w:r w:rsidRPr="00794AA5">
        <w:t>The package amount is subject to review and decision making</w:t>
      </w:r>
      <w:r w:rsidR="00A608FC">
        <w:t xml:space="preserve"> of this group</w:t>
      </w:r>
      <w:r w:rsidRPr="00794AA5">
        <w:t>, according to expenditure tracking throughout the financial year.</w:t>
      </w:r>
    </w:p>
    <w:p w:rsidR="00C40180" w:rsidRPr="00441EED" w:rsidRDefault="00C40180" w:rsidP="00C40180">
      <w:pPr>
        <w:pStyle w:val="ListParagraph"/>
        <w:spacing w:line="276" w:lineRule="auto"/>
        <w:ind w:left="360"/>
        <w:rPr>
          <w:b/>
          <w:color w:val="0095A3"/>
        </w:rPr>
      </w:pPr>
    </w:p>
    <w:p w:rsidR="00441EED" w:rsidRDefault="00441EED">
      <w:pPr>
        <w:rPr>
          <w:b/>
          <w:color w:val="0095A3"/>
        </w:rPr>
      </w:pPr>
      <w:r>
        <w:rPr>
          <w:b/>
          <w:color w:val="0095A3"/>
        </w:rPr>
        <w:br w:type="page"/>
      </w:r>
    </w:p>
    <w:p w:rsidR="008B15CE" w:rsidRDefault="00E54AD2" w:rsidP="008240A4">
      <w:pPr>
        <w:pStyle w:val="ListParagraph"/>
        <w:numPr>
          <w:ilvl w:val="0"/>
          <w:numId w:val="28"/>
        </w:numPr>
        <w:spacing w:line="276" w:lineRule="auto"/>
        <w:rPr>
          <w:b/>
          <w:color w:val="0095A3"/>
        </w:rPr>
      </w:pPr>
      <w:r w:rsidRPr="00441EED">
        <w:rPr>
          <w:b/>
          <w:color w:val="0095A3"/>
        </w:rPr>
        <w:lastRenderedPageBreak/>
        <w:t xml:space="preserve">Administration Process </w:t>
      </w:r>
    </w:p>
    <w:p w:rsidR="00441EED" w:rsidRPr="00441EED" w:rsidRDefault="00441EED" w:rsidP="00441EED">
      <w:pPr>
        <w:pStyle w:val="ListParagraph"/>
        <w:spacing w:line="276" w:lineRule="auto"/>
        <w:ind w:left="360"/>
        <w:rPr>
          <w:b/>
          <w:color w:val="0095A3"/>
        </w:rPr>
      </w:pPr>
    </w:p>
    <w:tbl>
      <w:tblPr>
        <w:tblStyle w:val="TableGrid"/>
        <w:tblW w:w="0" w:type="auto"/>
        <w:tblLook w:val="04A0" w:firstRow="1" w:lastRow="0" w:firstColumn="1" w:lastColumn="0" w:noHBand="0" w:noVBand="1"/>
      </w:tblPr>
      <w:tblGrid>
        <w:gridCol w:w="9016"/>
      </w:tblGrid>
      <w:tr w:rsidR="00F322D0" w:rsidRPr="00797F85" w:rsidTr="00441EED">
        <w:tc>
          <w:tcPr>
            <w:tcW w:w="9016" w:type="dxa"/>
            <w:tcBorders>
              <w:top w:val="single" w:sz="4" w:space="0" w:color="auto"/>
              <w:left w:val="single" w:sz="4" w:space="0" w:color="auto"/>
              <w:bottom w:val="single" w:sz="4" w:space="0" w:color="auto"/>
              <w:right w:val="single" w:sz="4" w:space="0" w:color="auto"/>
            </w:tcBorders>
            <w:shd w:val="clear" w:color="auto" w:fill="auto"/>
            <w:hideMark/>
          </w:tcPr>
          <w:p w:rsidR="00F322D0" w:rsidRDefault="00F322D0" w:rsidP="00DF3B54">
            <w:pPr>
              <w:spacing w:line="276" w:lineRule="auto"/>
              <w:rPr>
                <w:b/>
              </w:rPr>
            </w:pPr>
            <w:r w:rsidRPr="00441EED">
              <w:rPr>
                <w:b/>
              </w:rPr>
              <w:t>Application and Assessment Cycle - the process will operate on a weekly rotation, see below key days within a cycle.</w:t>
            </w:r>
          </w:p>
          <w:p w:rsidR="00441EED" w:rsidRPr="00797F85" w:rsidRDefault="00441EED" w:rsidP="00DF3B54">
            <w:pPr>
              <w:spacing w:line="276" w:lineRule="auto"/>
              <w:rPr>
                <w:b/>
                <w:color w:val="2E74B5" w:themeColor="accent1" w:themeShade="BF"/>
              </w:rPr>
            </w:pPr>
          </w:p>
        </w:tc>
      </w:tr>
      <w:tr w:rsidR="00016646" w:rsidRPr="00797F85" w:rsidTr="00F322D0">
        <w:tc>
          <w:tcPr>
            <w:tcW w:w="9016" w:type="dxa"/>
            <w:tcBorders>
              <w:top w:val="single" w:sz="4" w:space="0" w:color="auto"/>
              <w:left w:val="single" w:sz="4" w:space="0" w:color="auto"/>
              <w:bottom w:val="single" w:sz="4" w:space="0" w:color="auto"/>
              <w:right w:val="single" w:sz="4" w:space="0" w:color="auto"/>
            </w:tcBorders>
          </w:tcPr>
          <w:p w:rsidR="00016646" w:rsidRDefault="00D866B2" w:rsidP="00FF3122">
            <w:pPr>
              <w:spacing w:line="276" w:lineRule="auto"/>
            </w:pPr>
            <w:r w:rsidRPr="00797F85">
              <w:t xml:space="preserve">Flexible Packages will be received </w:t>
            </w:r>
            <w:r>
              <w:t xml:space="preserve">each week** (noting change COVID response – </w:t>
            </w:r>
            <w:r w:rsidRPr="00D866B2">
              <w:rPr>
                <w:i/>
              </w:rPr>
              <w:t>fortnightly to weekly</w:t>
            </w:r>
            <w:r>
              <w:t>)</w:t>
            </w:r>
          </w:p>
          <w:p w:rsidR="00441EED" w:rsidRPr="00797F85" w:rsidRDefault="00441EED" w:rsidP="00FF3122">
            <w:pPr>
              <w:spacing w:line="276" w:lineRule="auto"/>
            </w:pPr>
          </w:p>
        </w:tc>
      </w:tr>
      <w:tr w:rsidR="00974B9F" w:rsidRPr="00797F85" w:rsidTr="00F322D0">
        <w:tc>
          <w:tcPr>
            <w:tcW w:w="9016" w:type="dxa"/>
            <w:tcBorders>
              <w:top w:val="single" w:sz="4" w:space="0" w:color="auto"/>
              <w:left w:val="single" w:sz="4" w:space="0" w:color="auto"/>
              <w:bottom w:val="single" w:sz="4" w:space="0" w:color="auto"/>
              <w:right w:val="single" w:sz="4" w:space="0" w:color="auto"/>
            </w:tcBorders>
          </w:tcPr>
          <w:p w:rsidR="00974B9F" w:rsidRDefault="00D866B2" w:rsidP="00B94B08">
            <w:pPr>
              <w:spacing w:line="276" w:lineRule="auto"/>
            </w:pPr>
            <w:r w:rsidRPr="00797F85">
              <w:t xml:space="preserve">Flexible Package </w:t>
            </w:r>
            <w:r w:rsidR="00B94B08">
              <w:t>Applications (including all checklist documents)</w:t>
            </w:r>
            <w:r w:rsidRPr="00797F85">
              <w:t xml:space="preserve"> are to be sent to </w:t>
            </w:r>
            <w:r>
              <w:t>FS Alliance Inbox</w:t>
            </w:r>
            <w:r w:rsidRPr="00797F85">
              <w:t xml:space="preserve">, </w:t>
            </w:r>
            <w:r w:rsidRPr="00441EED">
              <w:rPr>
                <w:rStyle w:val="Hyperlink"/>
                <w:color w:val="0095A3"/>
              </w:rPr>
              <w:t>fsalliance.bpa.@anglicarevic.org.au</w:t>
            </w:r>
            <w:r w:rsidRPr="00441EED">
              <w:rPr>
                <w:color w:val="0095A3"/>
              </w:rPr>
              <w:t xml:space="preserve"> </w:t>
            </w:r>
            <w:r>
              <w:rPr>
                <w:b/>
              </w:rPr>
              <w:t xml:space="preserve">by COB </w:t>
            </w:r>
            <w:r w:rsidRPr="00797F85">
              <w:rPr>
                <w:b/>
              </w:rPr>
              <w:t>Monday</w:t>
            </w:r>
            <w:r w:rsidR="00B94B08">
              <w:t>.</w:t>
            </w:r>
          </w:p>
          <w:p w:rsidR="00441EED" w:rsidRPr="00797F85" w:rsidRDefault="00441EED" w:rsidP="00B94B08">
            <w:pPr>
              <w:spacing w:line="276" w:lineRule="auto"/>
            </w:pPr>
          </w:p>
        </w:tc>
      </w:tr>
      <w:tr w:rsidR="00974B9F" w:rsidRPr="00797F85" w:rsidTr="00F322D0">
        <w:tc>
          <w:tcPr>
            <w:tcW w:w="9016" w:type="dxa"/>
            <w:tcBorders>
              <w:top w:val="single" w:sz="4" w:space="0" w:color="auto"/>
              <w:left w:val="single" w:sz="4" w:space="0" w:color="auto"/>
              <w:bottom w:val="single" w:sz="4" w:space="0" w:color="auto"/>
              <w:right w:val="single" w:sz="4" w:space="0" w:color="auto"/>
            </w:tcBorders>
          </w:tcPr>
          <w:p w:rsidR="00B94B08" w:rsidRDefault="00B94B08" w:rsidP="00B94B08">
            <w:pPr>
              <w:spacing w:line="276" w:lineRule="auto"/>
            </w:pPr>
            <w:r w:rsidRPr="00797F85">
              <w:t xml:space="preserve">Partnership </w:t>
            </w:r>
            <w:r w:rsidR="00441EED">
              <w:t>Facilitator</w:t>
            </w:r>
            <w:r w:rsidRPr="00797F85">
              <w:t xml:space="preserve"> will </w:t>
            </w:r>
            <w:r w:rsidR="005704A5">
              <w:t xml:space="preserve">review applications; for both </w:t>
            </w:r>
            <w:r w:rsidR="005704A5" w:rsidRPr="005704A5">
              <w:t>complete</w:t>
            </w:r>
            <w:r w:rsidR="005704A5">
              <w:t>ness of required</w:t>
            </w:r>
            <w:r w:rsidR="005704A5" w:rsidRPr="005704A5">
              <w:t xml:space="preserve"> documentation </w:t>
            </w:r>
            <w:r w:rsidR="005704A5">
              <w:t>and appropriateness for access to Flexible Funding (against the Guidelines)</w:t>
            </w:r>
            <w:r w:rsidR="00616068">
              <w:t xml:space="preserve"> </w:t>
            </w:r>
            <w:r w:rsidR="00616068" w:rsidRPr="00616068">
              <w:rPr>
                <w:b/>
              </w:rPr>
              <w:t>by COB Tuesday</w:t>
            </w:r>
            <w:r w:rsidRPr="00616068">
              <w:rPr>
                <w:b/>
              </w:rPr>
              <w:t>,</w:t>
            </w:r>
            <w:r>
              <w:t xml:space="preserve"> </w:t>
            </w:r>
          </w:p>
          <w:p w:rsidR="00441EED" w:rsidRDefault="00441EED" w:rsidP="00B94B08">
            <w:pPr>
              <w:spacing w:line="276" w:lineRule="auto"/>
            </w:pPr>
          </w:p>
          <w:p w:rsidR="00B94B08" w:rsidRDefault="005704A5" w:rsidP="00441EED">
            <w:pPr>
              <w:pStyle w:val="ListParagraph"/>
              <w:numPr>
                <w:ilvl w:val="0"/>
                <w:numId w:val="30"/>
              </w:numPr>
              <w:spacing w:line="276" w:lineRule="auto"/>
            </w:pPr>
            <w:r>
              <w:t>Complete</w:t>
            </w:r>
            <w:r w:rsidR="00B94B08">
              <w:t xml:space="preserve"> </w:t>
            </w:r>
            <w:r w:rsidR="00616068">
              <w:t xml:space="preserve">and approved </w:t>
            </w:r>
            <w:r w:rsidR="00B94B08">
              <w:t>application</w:t>
            </w:r>
            <w:r w:rsidR="00616068">
              <w:t>s</w:t>
            </w:r>
            <w:r w:rsidR="00B94B08">
              <w:t xml:space="preserve"> will be forwarded to </w:t>
            </w:r>
            <w:r w:rsidR="00616068">
              <w:t xml:space="preserve">Anglicare </w:t>
            </w:r>
            <w:r w:rsidR="00E563AD">
              <w:t>Administration.</w:t>
            </w:r>
          </w:p>
          <w:p w:rsidR="00974B9F" w:rsidRPr="00192017" w:rsidRDefault="00617E53" w:rsidP="00441EED">
            <w:pPr>
              <w:pStyle w:val="ListParagraph"/>
              <w:numPr>
                <w:ilvl w:val="0"/>
                <w:numId w:val="30"/>
              </w:numPr>
              <w:spacing w:line="276" w:lineRule="auto"/>
            </w:pPr>
            <w:r>
              <w:t>Incomplete applications</w:t>
            </w:r>
            <w:r w:rsidR="00B94B08">
              <w:t xml:space="preserve"> will be sent </w:t>
            </w:r>
            <w:r w:rsidR="004D1652">
              <w:t xml:space="preserve">back </w:t>
            </w:r>
            <w:r w:rsidR="00B94B08">
              <w:t xml:space="preserve">to </w:t>
            </w:r>
            <w:r w:rsidR="00616068">
              <w:t>the Worker and agency approving Team Leader (or equivalent)</w:t>
            </w:r>
            <w:r w:rsidR="004D1652">
              <w:t xml:space="preserve"> for further information.  </w:t>
            </w:r>
            <w:r w:rsidR="004D1652" w:rsidRPr="00441EED">
              <w:rPr>
                <w:i/>
              </w:rPr>
              <w:t>The re-submitted application or additional information will be assessed in the next assessment cycle.</w:t>
            </w:r>
          </w:p>
          <w:p w:rsidR="00192017" w:rsidRDefault="005704A5" w:rsidP="00441EED">
            <w:pPr>
              <w:pStyle w:val="ListParagraph"/>
              <w:numPr>
                <w:ilvl w:val="0"/>
                <w:numId w:val="30"/>
              </w:numPr>
              <w:spacing w:line="276" w:lineRule="auto"/>
            </w:pPr>
            <w:r>
              <w:t>Where an a</w:t>
            </w:r>
            <w:r w:rsidR="00192017">
              <w:t>pplications</w:t>
            </w:r>
            <w:r>
              <w:t xml:space="preserve"> is</w:t>
            </w:r>
            <w:r w:rsidR="00192017">
              <w:t xml:space="preserve"> </w:t>
            </w:r>
            <w:r>
              <w:t>not approved</w:t>
            </w:r>
            <w:r w:rsidR="00E563AD">
              <w:t>,</w:t>
            </w:r>
            <w:r>
              <w:t xml:space="preserve"> the Partnership Manager will communicate this decision in writing to the Worker and their approving Team Leader (or equivalent)</w:t>
            </w:r>
          </w:p>
          <w:p w:rsidR="00441EED" w:rsidRPr="00797F85" w:rsidRDefault="00441EED" w:rsidP="00441EED">
            <w:pPr>
              <w:pStyle w:val="ListParagraph"/>
              <w:spacing w:line="276" w:lineRule="auto"/>
            </w:pPr>
          </w:p>
        </w:tc>
      </w:tr>
      <w:tr w:rsidR="00F322D0" w:rsidRPr="00797F85" w:rsidTr="00F322D0">
        <w:tc>
          <w:tcPr>
            <w:tcW w:w="9016" w:type="dxa"/>
            <w:tcBorders>
              <w:top w:val="single" w:sz="4" w:space="0" w:color="auto"/>
              <w:left w:val="single" w:sz="4" w:space="0" w:color="auto"/>
              <w:bottom w:val="single" w:sz="4" w:space="0" w:color="auto"/>
              <w:right w:val="single" w:sz="4" w:space="0" w:color="auto"/>
            </w:tcBorders>
            <w:hideMark/>
          </w:tcPr>
          <w:p w:rsidR="00F322D0" w:rsidRPr="00797F85" w:rsidRDefault="00F322D0" w:rsidP="00A608FC">
            <w:pPr>
              <w:spacing w:line="276" w:lineRule="auto"/>
            </w:pPr>
          </w:p>
        </w:tc>
      </w:tr>
      <w:tr w:rsidR="00F322D0" w:rsidRPr="00797F85" w:rsidTr="00F322D0">
        <w:tc>
          <w:tcPr>
            <w:tcW w:w="9016" w:type="dxa"/>
            <w:tcBorders>
              <w:top w:val="single" w:sz="4" w:space="0" w:color="auto"/>
              <w:left w:val="single" w:sz="4" w:space="0" w:color="auto"/>
              <w:bottom w:val="single" w:sz="4" w:space="0" w:color="auto"/>
              <w:right w:val="single" w:sz="4" w:space="0" w:color="auto"/>
            </w:tcBorders>
            <w:hideMark/>
          </w:tcPr>
          <w:p w:rsidR="00F322D0" w:rsidRPr="00797F85" w:rsidRDefault="00F322D0" w:rsidP="00B94B08">
            <w:pPr>
              <w:spacing w:line="276" w:lineRule="auto"/>
            </w:pPr>
          </w:p>
        </w:tc>
      </w:tr>
      <w:tr w:rsidR="00FF3122" w:rsidRPr="00797F85" w:rsidTr="00F322D0">
        <w:tc>
          <w:tcPr>
            <w:tcW w:w="9016" w:type="dxa"/>
            <w:tcBorders>
              <w:top w:val="single" w:sz="4" w:space="0" w:color="auto"/>
              <w:left w:val="single" w:sz="4" w:space="0" w:color="auto"/>
              <w:bottom w:val="single" w:sz="4" w:space="0" w:color="auto"/>
              <w:right w:val="single" w:sz="4" w:space="0" w:color="auto"/>
            </w:tcBorders>
          </w:tcPr>
          <w:p w:rsidR="00FF3122" w:rsidRDefault="00E563AD" w:rsidP="00616068">
            <w:pPr>
              <w:spacing w:line="276" w:lineRule="auto"/>
            </w:pPr>
            <w:r>
              <w:t>Admin</w:t>
            </w:r>
            <w:r w:rsidR="00974B9F">
              <w:t xml:space="preserve"> will be notified </w:t>
            </w:r>
            <w:r w:rsidR="00974B9F" w:rsidRPr="00616068">
              <w:rPr>
                <w:b/>
              </w:rPr>
              <w:t>Wednesday A</w:t>
            </w:r>
            <w:r w:rsidR="00616068">
              <w:rPr>
                <w:b/>
              </w:rPr>
              <w:t>M</w:t>
            </w:r>
            <w:r w:rsidR="00974B9F">
              <w:t xml:space="preserve"> </w:t>
            </w:r>
            <w:r w:rsidR="00616068">
              <w:t>of approved applications</w:t>
            </w:r>
            <w:r w:rsidR="000D7756">
              <w:t>.</w:t>
            </w:r>
            <w:r w:rsidR="00616068">
              <w:t xml:space="preserve"> </w:t>
            </w:r>
            <w:r w:rsidR="00974B9F">
              <w:t xml:space="preserve"> </w:t>
            </w:r>
          </w:p>
          <w:p w:rsidR="00441EED" w:rsidRPr="00797F85" w:rsidRDefault="00441EED" w:rsidP="00616068">
            <w:pPr>
              <w:spacing w:line="276" w:lineRule="auto"/>
            </w:pPr>
          </w:p>
        </w:tc>
      </w:tr>
      <w:tr w:rsidR="004D1652" w:rsidRPr="00797F85" w:rsidTr="00F322D0">
        <w:tc>
          <w:tcPr>
            <w:tcW w:w="9016" w:type="dxa"/>
            <w:tcBorders>
              <w:top w:val="single" w:sz="4" w:space="0" w:color="auto"/>
              <w:left w:val="single" w:sz="4" w:space="0" w:color="auto"/>
              <w:bottom w:val="single" w:sz="4" w:space="0" w:color="auto"/>
              <w:right w:val="single" w:sz="4" w:space="0" w:color="auto"/>
            </w:tcBorders>
          </w:tcPr>
          <w:p w:rsidR="004D1652" w:rsidRDefault="00E563AD" w:rsidP="000D7756">
            <w:pPr>
              <w:spacing w:line="276" w:lineRule="auto"/>
            </w:pPr>
            <w:r>
              <w:t>Admin</w:t>
            </w:r>
            <w:r w:rsidR="004D1652">
              <w:t xml:space="preserve"> communicate</w:t>
            </w:r>
            <w:r w:rsidR="00192017">
              <w:t>s</w:t>
            </w:r>
            <w:r w:rsidR="004D1652">
              <w:t xml:space="preserve"> </w:t>
            </w:r>
            <w:r w:rsidR="000D7756" w:rsidRPr="000D7756">
              <w:t xml:space="preserve">decisions made by Partnership Manager </w:t>
            </w:r>
            <w:r w:rsidR="004D1652">
              <w:t xml:space="preserve">with </w:t>
            </w:r>
            <w:r w:rsidR="000D7756">
              <w:t xml:space="preserve">the </w:t>
            </w:r>
            <w:r w:rsidR="00E629C4">
              <w:t xml:space="preserve">Worker </w:t>
            </w:r>
            <w:r w:rsidR="000D7756">
              <w:t xml:space="preserve">via email and initiates purchasing by </w:t>
            </w:r>
            <w:r w:rsidR="000D7756" w:rsidRPr="004D1652">
              <w:rPr>
                <w:b/>
              </w:rPr>
              <w:t>COB Friday</w:t>
            </w:r>
            <w:r w:rsidR="000D7756">
              <w:t xml:space="preserve"> in the same week applications close. </w:t>
            </w:r>
          </w:p>
          <w:p w:rsidR="00441EED" w:rsidRDefault="00441EED" w:rsidP="000D7756">
            <w:pPr>
              <w:spacing w:line="276" w:lineRule="auto"/>
            </w:pPr>
          </w:p>
        </w:tc>
      </w:tr>
      <w:tr w:rsidR="004D1652" w:rsidRPr="00797F85" w:rsidTr="00F322D0">
        <w:tc>
          <w:tcPr>
            <w:tcW w:w="9016" w:type="dxa"/>
            <w:tcBorders>
              <w:top w:val="single" w:sz="4" w:space="0" w:color="auto"/>
              <w:left w:val="single" w:sz="4" w:space="0" w:color="auto"/>
              <w:bottom w:val="single" w:sz="4" w:space="0" w:color="auto"/>
              <w:right w:val="single" w:sz="4" w:space="0" w:color="auto"/>
            </w:tcBorders>
          </w:tcPr>
          <w:p w:rsidR="004D1652" w:rsidRDefault="00E7053E" w:rsidP="000D7756">
            <w:pPr>
              <w:spacing w:line="276" w:lineRule="auto"/>
            </w:pPr>
            <w:r>
              <w:t>Admin</w:t>
            </w:r>
            <w:r w:rsidR="000D7756">
              <w:t xml:space="preserve"> continues to communicate with Worker until the Package</w:t>
            </w:r>
            <w:r w:rsidR="00CF13D8">
              <w:t xml:space="preserve"> purchase</w:t>
            </w:r>
            <w:r w:rsidR="000D7756">
              <w:t xml:space="preserve"> is complete.</w:t>
            </w:r>
          </w:p>
          <w:p w:rsidR="00441EED" w:rsidRDefault="00441EED" w:rsidP="000D7756">
            <w:pPr>
              <w:spacing w:line="276" w:lineRule="auto"/>
            </w:pPr>
          </w:p>
        </w:tc>
      </w:tr>
    </w:tbl>
    <w:p w:rsidR="00441EED" w:rsidRDefault="00441EED" w:rsidP="006121B8">
      <w:pPr>
        <w:spacing w:line="276" w:lineRule="auto"/>
        <w:rPr>
          <w:b/>
        </w:rPr>
      </w:pPr>
    </w:p>
    <w:p w:rsidR="00F322D0" w:rsidRDefault="00974B9F" w:rsidP="006121B8">
      <w:pPr>
        <w:spacing w:line="276" w:lineRule="auto"/>
        <w:rPr>
          <w:i/>
        </w:rPr>
      </w:pPr>
      <w:r>
        <w:rPr>
          <w:b/>
        </w:rPr>
        <w:t xml:space="preserve">** </w:t>
      </w:r>
      <w:r w:rsidRPr="00CF13D8">
        <w:rPr>
          <w:i/>
        </w:rPr>
        <w:t xml:space="preserve">This system may be impacted by application demand, workers </w:t>
      </w:r>
      <w:r w:rsidR="00CF13D8" w:rsidRPr="00CF13D8">
        <w:rPr>
          <w:i/>
        </w:rPr>
        <w:t>will be advised where delays in processing are experienced.</w:t>
      </w:r>
    </w:p>
    <w:p w:rsidR="00C80D3F" w:rsidRDefault="00C80D3F">
      <w:pPr>
        <w:rPr>
          <w:b/>
        </w:rPr>
      </w:pPr>
      <w:r>
        <w:rPr>
          <w:b/>
        </w:rPr>
        <w:br w:type="page"/>
      </w:r>
    </w:p>
    <w:p w:rsidR="00CF13D8" w:rsidRPr="00441EED" w:rsidRDefault="00CF13D8" w:rsidP="006121B8">
      <w:pPr>
        <w:spacing w:line="276" w:lineRule="auto"/>
        <w:rPr>
          <w:b/>
          <w:color w:val="0095A3"/>
        </w:rPr>
      </w:pPr>
    </w:p>
    <w:p w:rsidR="000849BF" w:rsidRPr="00441EED" w:rsidRDefault="000849BF" w:rsidP="008240A4">
      <w:pPr>
        <w:pStyle w:val="ListParagraph"/>
        <w:numPr>
          <w:ilvl w:val="0"/>
          <w:numId w:val="28"/>
        </w:numPr>
        <w:spacing w:line="276" w:lineRule="auto"/>
        <w:rPr>
          <w:b/>
          <w:color w:val="0095A3"/>
        </w:rPr>
      </w:pPr>
      <w:r w:rsidRPr="00441EED">
        <w:rPr>
          <w:b/>
          <w:color w:val="0095A3"/>
        </w:rPr>
        <w:t xml:space="preserve">Terms &amp; Conditions (as of </w:t>
      </w:r>
      <w:r w:rsidR="00441EED">
        <w:rPr>
          <w:b/>
          <w:color w:val="0095A3"/>
        </w:rPr>
        <w:t>February 2022</w:t>
      </w:r>
      <w:r w:rsidRPr="00441EED">
        <w:rPr>
          <w:b/>
          <w:color w:val="0095A3"/>
        </w:rPr>
        <w:t>)</w:t>
      </w:r>
    </w:p>
    <w:p w:rsidR="00D75582" w:rsidRPr="00797F85" w:rsidRDefault="00D75582" w:rsidP="00D75582">
      <w:pPr>
        <w:pStyle w:val="ListParagraph"/>
        <w:spacing w:line="276" w:lineRule="auto"/>
        <w:ind w:left="360"/>
        <w:rPr>
          <w:b/>
          <w:color w:val="C45911" w:themeColor="accent2" w:themeShade="BF"/>
        </w:rPr>
      </w:pPr>
    </w:p>
    <w:p w:rsidR="003F44EC" w:rsidRDefault="002E4716" w:rsidP="00D75582">
      <w:pPr>
        <w:pStyle w:val="ListParagraph"/>
        <w:numPr>
          <w:ilvl w:val="0"/>
          <w:numId w:val="19"/>
        </w:numPr>
        <w:spacing w:after="0" w:line="276" w:lineRule="auto"/>
        <w:ind w:left="360"/>
        <w:contextualSpacing w:val="0"/>
        <w:rPr>
          <w:rFonts w:cs="Arial"/>
        </w:rPr>
      </w:pPr>
      <w:r w:rsidRPr="00797F85">
        <w:rPr>
          <w:rFonts w:cs="Arial"/>
        </w:rPr>
        <w:t xml:space="preserve">Agencies </w:t>
      </w:r>
      <w:r w:rsidR="003D2553">
        <w:rPr>
          <w:rFonts w:cs="Arial"/>
        </w:rPr>
        <w:t>must remain “open” with the family for which they are applying for funding for the duration of the application process.</w:t>
      </w:r>
    </w:p>
    <w:p w:rsidR="00CF13D8" w:rsidRDefault="00CF13D8" w:rsidP="00D75582">
      <w:pPr>
        <w:pStyle w:val="ListParagraph"/>
        <w:numPr>
          <w:ilvl w:val="0"/>
          <w:numId w:val="19"/>
        </w:numPr>
        <w:spacing w:after="0" w:line="276" w:lineRule="auto"/>
        <w:ind w:left="360"/>
        <w:contextualSpacing w:val="0"/>
        <w:rPr>
          <w:rFonts w:cs="Arial"/>
        </w:rPr>
      </w:pPr>
      <w:r>
        <w:rPr>
          <w:rFonts w:cs="Arial"/>
        </w:rPr>
        <w:t>Agencies must not engage in the purchasing of goods and services until the application is approved (as per the Client Consent &amp; Disclaimer Form).</w:t>
      </w:r>
    </w:p>
    <w:p w:rsidR="00CF13D8" w:rsidRPr="00CF13D8" w:rsidRDefault="00CF13D8" w:rsidP="00CF13D8">
      <w:pPr>
        <w:pStyle w:val="ListParagraph"/>
        <w:numPr>
          <w:ilvl w:val="0"/>
          <w:numId w:val="19"/>
        </w:numPr>
        <w:spacing w:after="0" w:line="276" w:lineRule="auto"/>
        <w:ind w:left="360"/>
        <w:contextualSpacing w:val="0"/>
        <w:rPr>
          <w:rFonts w:cs="Arial"/>
        </w:rPr>
      </w:pPr>
      <w:r w:rsidRPr="00CF13D8">
        <w:t xml:space="preserve">The actual purchase amount for any goods must not exceed 10% of the approved </w:t>
      </w:r>
      <w:r w:rsidR="0033651A">
        <w:t>p</w:t>
      </w:r>
      <w:r>
        <w:t>ackage</w:t>
      </w:r>
      <w:r w:rsidRPr="00CF13D8">
        <w:t xml:space="preserve">. If the purchase price has increased by more than 10% </w:t>
      </w:r>
      <w:r w:rsidR="0033651A">
        <w:t>the alliance FSP administration team will communicate with the worker and the FSP r</w:t>
      </w:r>
      <w:r w:rsidRPr="00CF13D8">
        <w:t>equest must be re-submitted.</w:t>
      </w:r>
    </w:p>
    <w:p w:rsidR="003D2553" w:rsidRPr="00797F85" w:rsidRDefault="003D2553" w:rsidP="00D75582">
      <w:pPr>
        <w:pStyle w:val="ListParagraph"/>
        <w:numPr>
          <w:ilvl w:val="0"/>
          <w:numId w:val="19"/>
        </w:numPr>
        <w:spacing w:after="0" w:line="276" w:lineRule="auto"/>
        <w:ind w:left="360"/>
        <w:contextualSpacing w:val="0"/>
        <w:rPr>
          <w:rFonts w:cs="Arial"/>
        </w:rPr>
      </w:pPr>
      <w:r>
        <w:rPr>
          <w:rFonts w:cs="Arial"/>
        </w:rPr>
        <w:t xml:space="preserve">Applications with incomplete documentation will be cancelled after a period of 21 days (from the date of receipt of application).  The worker will be advised in writing and may re-apply at a later stage when all necessary documentation is available.  </w:t>
      </w:r>
    </w:p>
    <w:p w:rsidR="00B25178" w:rsidRPr="00797F85" w:rsidRDefault="00B25178" w:rsidP="00B25178">
      <w:pPr>
        <w:pStyle w:val="ListParagraph"/>
        <w:spacing w:after="120" w:line="276" w:lineRule="auto"/>
        <w:ind w:left="360"/>
        <w:contextualSpacing w:val="0"/>
        <w:rPr>
          <w:rFonts w:cs="Arial"/>
        </w:rPr>
      </w:pPr>
    </w:p>
    <w:p w:rsidR="00530F79" w:rsidRDefault="00514FD5" w:rsidP="008240A4">
      <w:pPr>
        <w:pStyle w:val="ListParagraph"/>
        <w:numPr>
          <w:ilvl w:val="0"/>
          <w:numId w:val="28"/>
        </w:numPr>
        <w:spacing w:line="276" w:lineRule="auto"/>
        <w:rPr>
          <w:b/>
          <w:color w:val="0095A3"/>
        </w:rPr>
      </w:pPr>
      <w:r w:rsidRPr="00441EED">
        <w:rPr>
          <w:b/>
          <w:color w:val="0095A3"/>
        </w:rPr>
        <w:t>Attachments</w:t>
      </w:r>
    </w:p>
    <w:p w:rsidR="00441EED" w:rsidRPr="00441EED" w:rsidRDefault="00441EED" w:rsidP="00441EED">
      <w:pPr>
        <w:pStyle w:val="ListParagraph"/>
        <w:spacing w:line="276" w:lineRule="auto"/>
        <w:ind w:left="360"/>
        <w:rPr>
          <w:b/>
          <w:color w:val="0095A3"/>
        </w:rPr>
      </w:pPr>
    </w:p>
    <w:p w:rsidR="00B6591F" w:rsidRPr="00797F85" w:rsidRDefault="00514FD5" w:rsidP="000C0FFD">
      <w:pPr>
        <w:pStyle w:val="ListParagraph"/>
        <w:spacing w:line="276" w:lineRule="auto"/>
        <w:ind w:left="0"/>
      </w:pPr>
      <w:r w:rsidRPr="00797F85">
        <w:t xml:space="preserve">Attachment </w:t>
      </w:r>
      <w:r w:rsidR="00B6591F" w:rsidRPr="00797F85">
        <w:t>1</w:t>
      </w:r>
      <w:r w:rsidRPr="00797F85">
        <w:tab/>
      </w:r>
      <w:r w:rsidR="00B6591F" w:rsidRPr="00797F85">
        <w:tab/>
      </w:r>
      <w:r w:rsidR="003D2553">
        <w:t>Alternative Funding Options</w:t>
      </w:r>
      <w:r w:rsidR="000D7756" w:rsidRPr="00797F85">
        <w:t xml:space="preserve"> </w:t>
      </w:r>
    </w:p>
    <w:p w:rsidR="00946FDC" w:rsidRPr="00797F85" w:rsidRDefault="00514FD5" w:rsidP="000C0FFD">
      <w:pPr>
        <w:pStyle w:val="ListParagraph"/>
        <w:spacing w:line="276" w:lineRule="auto"/>
        <w:ind w:left="0"/>
      </w:pPr>
      <w:r w:rsidRPr="00797F85">
        <w:t xml:space="preserve">Attachment </w:t>
      </w:r>
      <w:r w:rsidR="00B6591F" w:rsidRPr="00797F85">
        <w:t>2</w:t>
      </w:r>
      <w:r w:rsidRPr="00797F85">
        <w:tab/>
      </w:r>
      <w:r w:rsidRPr="00797F85">
        <w:tab/>
      </w:r>
      <w:r w:rsidR="000D7756">
        <w:t>BPA Child &amp; Family Services Flexible</w:t>
      </w:r>
      <w:r w:rsidR="000D7756" w:rsidRPr="00797F85">
        <w:t xml:space="preserve"> Package Request Form</w:t>
      </w:r>
    </w:p>
    <w:p w:rsidR="00384A6B" w:rsidRDefault="00384A6B" w:rsidP="000C0FFD">
      <w:pPr>
        <w:pStyle w:val="ListParagraph"/>
        <w:spacing w:line="276" w:lineRule="auto"/>
        <w:ind w:left="0"/>
      </w:pPr>
      <w:r w:rsidRPr="00797F85">
        <w:t>Attachment 3.</w:t>
      </w:r>
      <w:r w:rsidR="00946FDC" w:rsidRPr="00797F85">
        <w:tab/>
      </w:r>
      <w:r w:rsidR="00946FDC" w:rsidRPr="00797F85">
        <w:tab/>
      </w:r>
      <w:r w:rsidR="000D7756" w:rsidRPr="00797F85">
        <w:t>Client Consent &amp; Disclaimer Form</w:t>
      </w:r>
    </w:p>
    <w:p w:rsidR="00B8793F" w:rsidRDefault="00B8793F" w:rsidP="000C0FFD">
      <w:pPr>
        <w:pStyle w:val="ListParagraph"/>
        <w:spacing w:line="276" w:lineRule="auto"/>
        <w:ind w:left="0"/>
      </w:pPr>
    </w:p>
    <w:p w:rsidR="00B8793F" w:rsidRPr="00797F85" w:rsidRDefault="00B8793F" w:rsidP="000C0FFD">
      <w:pPr>
        <w:pStyle w:val="ListParagraph"/>
        <w:spacing w:line="276" w:lineRule="auto"/>
        <w:ind w:left="0"/>
      </w:pPr>
    </w:p>
    <w:p w:rsidR="0072232F" w:rsidRPr="00441EED" w:rsidRDefault="003F16F5" w:rsidP="00441EED">
      <w:pPr>
        <w:spacing w:after="0" w:line="240" w:lineRule="auto"/>
        <w:rPr>
          <w:b/>
          <w:color w:val="0095A3"/>
        </w:rPr>
      </w:pPr>
      <w:r w:rsidRPr="00441EED">
        <w:rPr>
          <w:b/>
          <w:color w:val="0095A3"/>
        </w:rPr>
        <w:t>Applications</w:t>
      </w:r>
      <w:r w:rsidR="00E563AD" w:rsidRPr="00441EED">
        <w:rPr>
          <w:b/>
          <w:color w:val="0095A3"/>
        </w:rPr>
        <w:t xml:space="preserve"> and Enquiries</w:t>
      </w:r>
      <w:r w:rsidRPr="00441EED">
        <w:rPr>
          <w:b/>
          <w:color w:val="0095A3"/>
        </w:rPr>
        <w:t xml:space="preserve"> </w:t>
      </w:r>
      <w:r w:rsidR="0072232F" w:rsidRPr="00441EED">
        <w:rPr>
          <w:b/>
          <w:color w:val="0095A3"/>
        </w:rPr>
        <w:t>to be sent to:</w:t>
      </w:r>
    </w:p>
    <w:p w:rsidR="0072232F" w:rsidRPr="00441EED" w:rsidRDefault="00CA22C7" w:rsidP="00441EED">
      <w:pPr>
        <w:spacing w:after="0" w:line="240" w:lineRule="auto"/>
        <w:rPr>
          <w:rStyle w:val="Hyperlink"/>
          <w:b/>
          <w:color w:val="auto"/>
          <w:u w:val="none"/>
        </w:rPr>
      </w:pPr>
      <w:hyperlink r:id="rId9" w:history="1">
        <w:r w:rsidR="009D5EE7" w:rsidRPr="00441EED">
          <w:rPr>
            <w:rStyle w:val="Hyperlink"/>
            <w:b/>
            <w:color w:val="auto"/>
          </w:rPr>
          <w:t>fsalliance.bpa@anglicarevic.org.au</w:t>
        </w:r>
      </w:hyperlink>
    </w:p>
    <w:p w:rsidR="000C3487" w:rsidRPr="00797F85" w:rsidRDefault="000C3487" w:rsidP="000C3487">
      <w:pPr>
        <w:spacing w:after="0" w:line="240" w:lineRule="auto"/>
        <w:jc w:val="center"/>
        <w:rPr>
          <w:b/>
          <w:color w:val="C45911" w:themeColor="accent2" w:themeShade="BF"/>
        </w:rPr>
      </w:pPr>
    </w:p>
    <w:p w:rsidR="007C21C3" w:rsidRPr="00797F85" w:rsidRDefault="007C21C3" w:rsidP="009842E6">
      <w:pPr>
        <w:rPr>
          <w:b/>
          <w:color w:val="0070C0"/>
        </w:rPr>
      </w:pPr>
    </w:p>
    <w:p w:rsidR="003D2553" w:rsidRDefault="003D2553">
      <w:pPr>
        <w:rPr>
          <w:b/>
          <w:sz w:val="24"/>
          <w:szCs w:val="24"/>
        </w:rPr>
      </w:pPr>
      <w:r>
        <w:rPr>
          <w:b/>
          <w:sz w:val="24"/>
          <w:szCs w:val="24"/>
        </w:rPr>
        <w:br w:type="page"/>
      </w:r>
    </w:p>
    <w:p w:rsidR="003D2553" w:rsidRPr="00C371C2" w:rsidRDefault="003D2553" w:rsidP="00441EED">
      <w:pPr>
        <w:spacing w:after="0"/>
        <w:rPr>
          <w:b/>
        </w:rPr>
      </w:pPr>
      <w:r w:rsidRPr="00C371C2">
        <w:rPr>
          <w:b/>
        </w:rPr>
        <w:lastRenderedPageBreak/>
        <w:t>Attachment 1: Alternative Funding Options for Children &amp; Families:</w:t>
      </w:r>
    </w:p>
    <w:p w:rsidR="00C371C2" w:rsidRDefault="00F707A4" w:rsidP="00F707A4">
      <w:pPr>
        <w:tabs>
          <w:tab w:val="left" w:pos="1750"/>
        </w:tabs>
        <w:rPr>
          <w:i/>
          <w:sz w:val="20"/>
          <w:szCs w:val="20"/>
        </w:rPr>
      </w:pPr>
      <w:r>
        <w:rPr>
          <w:i/>
          <w:sz w:val="20"/>
          <w:szCs w:val="20"/>
        </w:rPr>
        <w:tab/>
      </w:r>
    </w:p>
    <w:p w:rsidR="00F707A4" w:rsidRPr="00C371C2" w:rsidRDefault="008240A4" w:rsidP="00441EED">
      <w:pPr>
        <w:rPr>
          <w:sz w:val="20"/>
          <w:szCs w:val="20"/>
        </w:rPr>
      </w:pPr>
      <w:r>
        <w:rPr>
          <w:sz w:val="20"/>
          <w:szCs w:val="20"/>
        </w:rPr>
        <w:t>(In alphabetical order)</w:t>
      </w:r>
    </w:p>
    <w:tbl>
      <w:tblPr>
        <w:tblStyle w:val="TableGrid"/>
        <w:tblW w:w="10207" w:type="dxa"/>
        <w:tblInd w:w="-714" w:type="dxa"/>
        <w:tblLayout w:type="fixed"/>
        <w:tblLook w:val="04A0" w:firstRow="1" w:lastRow="0" w:firstColumn="1" w:lastColumn="0" w:noHBand="0" w:noVBand="1"/>
      </w:tblPr>
      <w:tblGrid>
        <w:gridCol w:w="2410"/>
        <w:gridCol w:w="4395"/>
        <w:gridCol w:w="3402"/>
      </w:tblGrid>
      <w:tr w:rsidR="00C371C2" w:rsidTr="0033651A">
        <w:tc>
          <w:tcPr>
            <w:tcW w:w="2410" w:type="dxa"/>
            <w:shd w:val="clear" w:color="auto" w:fill="FCC198"/>
          </w:tcPr>
          <w:p w:rsidR="00C371C2" w:rsidRDefault="00C371C2" w:rsidP="00C371C2">
            <w:pPr>
              <w:rPr>
                <w:b/>
                <w:sz w:val="20"/>
                <w:szCs w:val="20"/>
              </w:rPr>
            </w:pPr>
            <w:r w:rsidRPr="00C371C2">
              <w:rPr>
                <w:b/>
                <w:sz w:val="20"/>
                <w:szCs w:val="20"/>
              </w:rPr>
              <w:t>Organisation</w:t>
            </w:r>
          </w:p>
          <w:p w:rsidR="00C371C2" w:rsidRPr="00C371C2" w:rsidRDefault="00C371C2" w:rsidP="00C371C2">
            <w:pPr>
              <w:rPr>
                <w:b/>
                <w:sz w:val="20"/>
                <w:szCs w:val="20"/>
              </w:rPr>
            </w:pPr>
            <w:r>
              <w:rPr>
                <w:b/>
                <w:sz w:val="20"/>
                <w:szCs w:val="20"/>
              </w:rPr>
              <w:t>/package type</w:t>
            </w:r>
          </w:p>
        </w:tc>
        <w:tc>
          <w:tcPr>
            <w:tcW w:w="4395" w:type="dxa"/>
            <w:shd w:val="clear" w:color="auto" w:fill="FCC198"/>
          </w:tcPr>
          <w:p w:rsidR="00C371C2" w:rsidRPr="00C371C2" w:rsidRDefault="00C371C2" w:rsidP="00C371C2">
            <w:pPr>
              <w:rPr>
                <w:b/>
                <w:sz w:val="20"/>
                <w:szCs w:val="20"/>
              </w:rPr>
            </w:pPr>
            <w:r w:rsidRPr="00C371C2">
              <w:rPr>
                <w:b/>
                <w:sz w:val="20"/>
                <w:szCs w:val="20"/>
              </w:rPr>
              <w:t>Information</w:t>
            </w:r>
          </w:p>
        </w:tc>
        <w:tc>
          <w:tcPr>
            <w:tcW w:w="3402" w:type="dxa"/>
            <w:shd w:val="clear" w:color="auto" w:fill="FCC198"/>
          </w:tcPr>
          <w:p w:rsidR="00C371C2" w:rsidRPr="00C371C2" w:rsidRDefault="00C371C2" w:rsidP="00C371C2">
            <w:pPr>
              <w:rPr>
                <w:b/>
                <w:sz w:val="20"/>
                <w:szCs w:val="20"/>
              </w:rPr>
            </w:pPr>
            <w:r w:rsidRPr="00C371C2">
              <w:rPr>
                <w:b/>
                <w:sz w:val="20"/>
                <w:szCs w:val="20"/>
              </w:rPr>
              <w:t>Contact information</w:t>
            </w:r>
          </w:p>
        </w:tc>
      </w:tr>
      <w:tr w:rsidR="000F29C4" w:rsidTr="0033651A">
        <w:tc>
          <w:tcPr>
            <w:tcW w:w="2410" w:type="dxa"/>
            <w:shd w:val="clear" w:color="auto" w:fill="auto"/>
          </w:tcPr>
          <w:p w:rsidR="000F29C4" w:rsidRPr="008240A4" w:rsidRDefault="000F29C4" w:rsidP="000F29C4">
            <w:pPr>
              <w:tabs>
                <w:tab w:val="left" w:pos="1140"/>
              </w:tabs>
              <w:contextualSpacing/>
              <w:rPr>
                <w:b/>
                <w:sz w:val="20"/>
                <w:szCs w:val="20"/>
              </w:rPr>
            </w:pPr>
          </w:p>
          <w:p w:rsidR="000F29C4" w:rsidRPr="008240A4" w:rsidRDefault="000F29C4" w:rsidP="000F29C4">
            <w:pPr>
              <w:tabs>
                <w:tab w:val="left" w:pos="1140"/>
              </w:tabs>
              <w:contextualSpacing/>
              <w:rPr>
                <w:b/>
                <w:sz w:val="20"/>
                <w:szCs w:val="20"/>
              </w:rPr>
            </w:pPr>
            <w:r w:rsidRPr="008240A4">
              <w:rPr>
                <w:b/>
                <w:sz w:val="20"/>
                <w:szCs w:val="20"/>
              </w:rPr>
              <w:t>Artists for Kids Culture</w:t>
            </w:r>
          </w:p>
          <w:p w:rsidR="000F29C4" w:rsidRPr="008240A4" w:rsidRDefault="000F29C4" w:rsidP="00C371C2">
            <w:pPr>
              <w:rPr>
                <w:b/>
                <w:sz w:val="20"/>
                <w:szCs w:val="20"/>
              </w:rPr>
            </w:pPr>
          </w:p>
        </w:tc>
        <w:tc>
          <w:tcPr>
            <w:tcW w:w="4395" w:type="dxa"/>
            <w:shd w:val="clear" w:color="auto" w:fill="auto"/>
          </w:tcPr>
          <w:p w:rsidR="000F29C4" w:rsidRPr="008240A4" w:rsidRDefault="000F29C4" w:rsidP="000F29C4">
            <w:pPr>
              <w:tabs>
                <w:tab w:val="left" w:pos="1140"/>
              </w:tabs>
              <w:contextualSpacing/>
              <w:rPr>
                <w:sz w:val="20"/>
                <w:szCs w:val="20"/>
              </w:rPr>
            </w:pPr>
            <w:r w:rsidRPr="008240A4">
              <w:rPr>
                <w:sz w:val="20"/>
                <w:szCs w:val="20"/>
              </w:rPr>
              <w:t>Artists for Kids Culture provide funds for children aged from 5 years -18 years. Funds are provided for those experiencing hardship for: music, sport, art, cultural activities, camps and personal development. Scholarships are also available.</w:t>
            </w:r>
          </w:p>
          <w:p w:rsidR="000F29C4" w:rsidRPr="008240A4" w:rsidRDefault="000F29C4" w:rsidP="00C371C2">
            <w:pPr>
              <w:rPr>
                <w:b/>
                <w:sz w:val="20"/>
                <w:szCs w:val="20"/>
              </w:rPr>
            </w:pPr>
          </w:p>
        </w:tc>
        <w:tc>
          <w:tcPr>
            <w:tcW w:w="3402" w:type="dxa"/>
            <w:shd w:val="clear" w:color="auto" w:fill="auto"/>
          </w:tcPr>
          <w:p w:rsidR="000F29C4" w:rsidRPr="008240A4" w:rsidRDefault="00CA22C7" w:rsidP="000F29C4">
            <w:pPr>
              <w:tabs>
                <w:tab w:val="left" w:pos="1140"/>
              </w:tabs>
              <w:contextualSpacing/>
              <w:rPr>
                <w:sz w:val="20"/>
                <w:szCs w:val="20"/>
              </w:rPr>
            </w:pPr>
            <w:hyperlink r:id="rId10" w:history="1">
              <w:r w:rsidR="000F29C4" w:rsidRPr="008240A4">
                <w:rPr>
                  <w:rStyle w:val="Hyperlink"/>
                  <w:color w:val="auto"/>
                  <w:sz w:val="20"/>
                  <w:szCs w:val="20"/>
                </w:rPr>
                <w:t>www.akc.org.au</w:t>
              </w:r>
            </w:hyperlink>
          </w:p>
          <w:p w:rsidR="000F29C4" w:rsidRPr="008240A4" w:rsidRDefault="000F29C4" w:rsidP="00C371C2">
            <w:pPr>
              <w:rPr>
                <w:b/>
                <w:sz w:val="20"/>
                <w:szCs w:val="20"/>
              </w:rPr>
            </w:pPr>
          </w:p>
        </w:tc>
      </w:tr>
      <w:tr w:rsidR="00C371C2" w:rsidTr="0033651A">
        <w:tc>
          <w:tcPr>
            <w:tcW w:w="2410" w:type="dxa"/>
          </w:tcPr>
          <w:p w:rsidR="00C371C2" w:rsidRPr="008240A4" w:rsidRDefault="00C371C2" w:rsidP="00441EED">
            <w:pPr>
              <w:rPr>
                <w:rFonts w:ascii="Calibri" w:hAnsi="Calibri" w:cs="Calibri"/>
                <w:b/>
                <w:sz w:val="20"/>
                <w:szCs w:val="20"/>
              </w:rPr>
            </w:pPr>
          </w:p>
          <w:p w:rsidR="00C371C2" w:rsidRPr="008240A4" w:rsidRDefault="00C371C2" w:rsidP="00441EED">
            <w:pPr>
              <w:rPr>
                <w:rFonts w:ascii="Calibri" w:hAnsi="Calibri" w:cs="Calibri"/>
                <w:b/>
                <w:sz w:val="20"/>
                <w:szCs w:val="20"/>
              </w:rPr>
            </w:pPr>
            <w:r w:rsidRPr="008240A4">
              <w:rPr>
                <w:rFonts w:ascii="Calibri" w:hAnsi="Calibri" w:cs="Calibri"/>
                <w:b/>
                <w:sz w:val="20"/>
                <w:szCs w:val="20"/>
              </w:rPr>
              <w:t>Carer Gateway</w:t>
            </w:r>
          </w:p>
        </w:tc>
        <w:tc>
          <w:tcPr>
            <w:tcW w:w="4395" w:type="dxa"/>
          </w:tcPr>
          <w:p w:rsidR="00C371C2" w:rsidRPr="008240A4" w:rsidRDefault="00C371C2" w:rsidP="00C371C2">
            <w:pPr>
              <w:pStyle w:val="NormalWeb"/>
              <w:shd w:val="clear" w:color="auto" w:fill="FFFFFF"/>
              <w:spacing w:before="192" w:beforeAutospacing="0" w:after="192" w:afterAutospacing="0"/>
              <w:rPr>
                <w:rFonts w:ascii="Calibri" w:hAnsi="Calibri" w:cs="Calibri"/>
                <w:sz w:val="20"/>
                <w:szCs w:val="20"/>
              </w:rPr>
            </w:pPr>
            <w:r w:rsidRPr="008240A4">
              <w:rPr>
                <w:rFonts w:ascii="Calibri" w:hAnsi="Calibri" w:cs="Calibri"/>
                <w:sz w:val="20"/>
                <w:szCs w:val="20"/>
              </w:rPr>
              <w:t>Carer Gateway provides many services to support carers in their caring role, including:</w:t>
            </w:r>
          </w:p>
          <w:p w:rsidR="00C371C2" w:rsidRPr="008240A4" w:rsidRDefault="00CA22C7" w:rsidP="00C371C2">
            <w:pPr>
              <w:numPr>
                <w:ilvl w:val="0"/>
                <w:numId w:val="32"/>
              </w:numPr>
              <w:shd w:val="clear" w:color="auto" w:fill="FFFFFF"/>
              <w:ind w:left="384"/>
              <w:rPr>
                <w:rFonts w:ascii="Calibri" w:hAnsi="Calibri" w:cs="Calibri"/>
                <w:sz w:val="20"/>
                <w:szCs w:val="20"/>
              </w:rPr>
            </w:pPr>
            <w:hyperlink r:id="rId11" w:history="1">
              <w:r w:rsidR="00C371C2" w:rsidRPr="008240A4">
                <w:rPr>
                  <w:rStyle w:val="Hyperlink"/>
                  <w:rFonts w:ascii="Calibri" w:hAnsi="Calibri" w:cs="Calibri"/>
                  <w:color w:val="auto"/>
                  <w:sz w:val="20"/>
                  <w:szCs w:val="20"/>
                </w:rPr>
                <w:t>in-person and online peer support groups</w:t>
              </w:r>
            </w:hyperlink>
          </w:p>
          <w:p w:rsidR="00C371C2" w:rsidRPr="008240A4" w:rsidRDefault="00CA22C7" w:rsidP="00C371C2">
            <w:pPr>
              <w:numPr>
                <w:ilvl w:val="0"/>
                <w:numId w:val="32"/>
              </w:numPr>
              <w:shd w:val="clear" w:color="auto" w:fill="FFFFFF"/>
              <w:ind w:left="384"/>
              <w:rPr>
                <w:rFonts w:ascii="Calibri" w:hAnsi="Calibri" w:cs="Calibri"/>
                <w:sz w:val="20"/>
                <w:szCs w:val="20"/>
              </w:rPr>
            </w:pPr>
            <w:hyperlink r:id="rId12" w:history="1">
              <w:r w:rsidR="00C371C2" w:rsidRPr="008240A4">
                <w:rPr>
                  <w:rStyle w:val="Hyperlink"/>
                  <w:rFonts w:ascii="Calibri" w:hAnsi="Calibri" w:cs="Calibri"/>
                  <w:color w:val="auto"/>
                  <w:sz w:val="20"/>
                  <w:szCs w:val="20"/>
                </w:rPr>
                <w:t>tailored support packages</w:t>
              </w:r>
            </w:hyperlink>
            <w:r w:rsidR="00C371C2" w:rsidRPr="008240A4">
              <w:rPr>
                <w:rFonts w:ascii="Calibri" w:hAnsi="Calibri" w:cs="Calibri"/>
                <w:sz w:val="20"/>
                <w:szCs w:val="20"/>
              </w:rPr>
              <w:t> to help with accessing planned respite, transport services, and more</w:t>
            </w:r>
          </w:p>
          <w:p w:rsidR="00C371C2" w:rsidRPr="008240A4" w:rsidRDefault="00CA22C7" w:rsidP="00C371C2">
            <w:pPr>
              <w:numPr>
                <w:ilvl w:val="0"/>
                <w:numId w:val="32"/>
              </w:numPr>
              <w:shd w:val="clear" w:color="auto" w:fill="FFFFFF"/>
              <w:ind w:left="384"/>
              <w:rPr>
                <w:rFonts w:ascii="Calibri" w:hAnsi="Calibri" w:cs="Calibri"/>
                <w:sz w:val="20"/>
                <w:szCs w:val="20"/>
              </w:rPr>
            </w:pPr>
            <w:hyperlink r:id="rId13" w:history="1">
              <w:r w:rsidR="00C371C2" w:rsidRPr="008240A4">
                <w:rPr>
                  <w:rStyle w:val="Hyperlink"/>
                  <w:rFonts w:ascii="Calibri" w:hAnsi="Calibri" w:cs="Calibri"/>
                  <w:color w:val="auto"/>
                  <w:sz w:val="20"/>
                  <w:szCs w:val="20"/>
                </w:rPr>
                <w:t>in-person and phone counselling</w:t>
              </w:r>
            </w:hyperlink>
          </w:p>
          <w:p w:rsidR="00C371C2" w:rsidRPr="008240A4" w:rsidRDefault="00CA22C7" w:rsidP="00C371C2">
            <w:pPr>
              <w:numPr>
                <w:ilvl w:val="0"/>
                <w:numId w:val="32"/>
              </w:numPr>
              <w:shd w:val="clear" w:color="auto" w:fill="FFFFFF"/>
              <w:ind w:left="384"/>
              <w:rPr>
                <w:rFonts w:ascii="Calibri" w:hAnsi="Calibri" w:cs="Calibri"/>
                <w:sz w:val="20"/>
                <w:szCs w:val="20"/>
              </w:rPr>
            </w:pPr>
            <w:hyperlink r:id="rId14" w:history="1">
              <w:r w:rsidR="00C371C2" w:rsidRPr="008240A4">
                <w:rPr>
                  <w:rStyle w:val="Hyperlink"/>
                  <w:rFonts w:ascii="Calibri" w:hAnsi="Calibri" w:cs="Calibri"/>
                  <w:color w:val="auto"/>
                  <w:sz w:val="20"/>
                  <w:szCs w:val="20"/>
                </w:rPr>
                <w:t>in-person and online self-guided coaching</w:t>
              </w:r>
            </w:hyperlink>
          </w:p>
          <w:p w:rsidR="00C371C2" w:rsidRPr="008240A4" w:rsidRDefault="00CA22C7" w:rsidP="00C371C2">
            <w:pPr>
              <w:numPr>
                <w:ilvl w:val="0"/>
                <w:numId w:val="32"/>
              </w:numPr>
              <w:shd w:val="clear" w:color="auto" w:fill="FFFFFF"/>
              <w:ind w:left="384"/>
              <w:rPr>
                <w:rFonts w:ascii="Calibri" w:hAnsi="Calibri" w:cs="Calibri"/>
                <w:sz w:val="20"/>
                <w:szCs w:val="20"/>
              </w:rPr>
            </w:pPr>
            <w:hyperlink r:id="rId15" w:history="1">
              <w:r w:rsidR="00C371C2" w:rsidRPr="008240A4">
                <w:rPr>
                  <w:rStyle w:val="Hyperlink"/>
                  <w:rFonts w:ascii="Calibri" w:hAnsi="Calibri" w:cs="Calibri"/>
                  <w:color w:val="auto"/>
                  <w:sz w:val="20"/>
                  <w:szCs w:val="20"/>
                </w:rPr>
                <w:t>online skills courses</w:t>
              </w:r>
            </w:hyperlink>
            <w:r w:rsidR="00C371C2" w:rsidRPr="008240A4">
              <w:rPr>
                <w:rFonts w:ascii="Calibri" w:hAnsi="Calibri" w:cs="Calibri"/>
                <w:sz w:val="20"/>
                <w:szCs w:val="20"/>
              </w:rPr>
              <w:t> to support your wellbeing and understanding of legal responsibilities relating to the caring role</w:t>
            </w:r>
          </w:p>
          <w:p w:rsidR="00C371C2" w:rsidRPr="008240A4" w:rsidRDefault="00CA22C7" w:rsidP="00C371C2">
            <w:pPr>
              <w:numPr>
                <w:ilvl w:val="0"/>
                <w:numId w:val="32"/>
              </w:numPr>
              <w:shd w:val="clear" w:color="auto" w:fill="FFFFFF"/>
              <w:ind w:left="384"/>
              <w:rPr>
                <w:rFonts w:ascii="Calibri" w:hAnsi="Calibri" w:cs="Calibri"/>
                <w:sz w:val="20"/>
                <w:szCs w:val="20"/>
              </w:rPr>
            </w:pPr>
            <w:hyperlink r:id="rId16" w:history="1">
              <w:r w:rsidR="00C371C2" w:rsidRPr="008240A4">
                <w:rPr>
                  <w:rStyle w:val="Hyperlink"/>
                  <w:rFonts w:ascii="Calibri" w:hAnsi="Calibri" w:cs="Calibri"/>
                  <w:color w:val="auto"/>
                  <w:sz w:val="20"/>
                  <w:szCs w:val="20"/>
                </w:rPr>
                <w:t>access to emergency respite</w:t>
              </w:r>
            </w:hyperlink>
            <w:r w:rsidR="00C371C2" w:rsidRPr="008240A4">
              <w:rPr>
                <w:rFonts w:ascii="Calibri" w:hAnsi="Calibri" w:cs="Calibri"/>
                <w:sz w:val="20"/>
                <w:szCs w:val="20"/>
              </w:rPr>
              <w:t> if you suddenly find you can’t provide care, for example if you become ill or injured.</w:t>
            </w:r>
          </w:p>
          <w:p w:rsidR="00C371C2" w:rsidRPr="008240A4" w:rsidRDefault="00C371C2" w:rsidP="00441EED">
            <w:pPr>
              <w:rPr>
                <w:rFonts w:ascii="Calibri" w:hAnsi="Calibri" w:cs="Calibri"/>
                <w:i/>
                <w:sz w:val="20"/>
                <w:szCs w:val="20"/>
              </w:rPr>
            </w:pPr>
          </w:p>
        </w:tc>
        <w:tc>
          <w:tcPr>
            <w:tcW w:w="3402" w:type="dxa"/>
          </w:tcPr>
          <w:p w:rsidR="00C371C2" w:rsidRPr="008240A4" w:rsidRDefault="00C371C2" w:rsidP="00C371C2">
            <w:pPr>
              <w:rPr>
                <w:rFonts w:ascii="Calibri" w:hAnsi="Calibri" w:cs="Calibri"/>
                <w:sz w:val="20"/>
                <w:szCs w:val="20"/>
              </w:rPr>
            </w:pPr>
          </w:p>
          <w:p w:rsidR="00C371C2" w:rsidRPr="008240A4" w:rsidRDefault="00CA22C7" w:rsidP="00C371C2">
            <w:pPr>
              <w:rPr>
                <w:rFonts w:ascii="Calibri" w:hAnsi="Calibri" w:cs="Calibri"/>
                <w:sz w:val="20"/>
                <w:szCs w:val="20"/>
              </w:rPr>
            </w:pPr>
            <w:hyperlink r:id="rId17" w:history="1">
              <w:r w:rsidR="00C371C2" w:rsidRPr="008240A4">
                <w:rPr>
                  <w:rStyle w:val="Hyperlink"/>
                  <w:rFonts w:ascii="Calibri" w:hAnsi="Calibri" w:cs="Calibri"/>
                  <w:color w:val="auto"/>
                  <w:sz w:val="20"/>
                  <w:szCs w:val="20"/>
                </w:rPr>
                <w:t>https://www.carergateway.gov.au/</w:t>
              </w:r>
            </w:hyperlink>
          </w:p>
          <w:p w:rsidR="00C371C2" w:rsidRPr="008240A4" w:rsidRDefault="00C371C2" w:rsidP="00441EED">
            <w:pPr>
              <w:rPr>
                <w:rFonts w:ascii="Calibri" w:hAnsi="Calibri" w:cs="Calibri"/>
                <w:i/>
                <w:sz w:val="20"/>
                <w:szCs w:val="20"/>
              </w:rPr>
            </w:pPr>
          </w:p>
        </w:tc>
      </w:tr>
      <w:tr w:rsidR="000F29C4" w:rsidTr="0033651A">
        <w:tc>
          <w:tcPr>
            <w:tcW w:w="2410" w:type="dxa"/>
          </w:tcPr>
          <w:p w:rsidR="000F29C4" w:rsidRPr="008240A4" w:rsidRDefault="000F29C4" w:rsidP="000F29C4">
            <w:pPr>
              <w:tabs>
                <w:tab w:val="left" w:pos="1140"/>
              </w:tabs>
              <w:contextualSpacing/>
              <w:rPr>
                <w:b/>
                <w:sz w:val="20"/>
                <w:szCs w:val="20"/>
              </w:rPr>
            </w:pPr>
          </w:p>
          <w:p w:rsidR="000F29C4" w:rsidRPr="008240A4" w:rsidRDefault="000F29C4" w:rsidP="000F29C4">
            <w:pPr>
              <w:tabs>
                <w:tab w:val="left" w:pos="1140"/>
              </w:tabs>
              <w:contextualSpacing/>
              <w:rPr>
                <w:b/>
                <w:sz w:val="20"/>
                <w:szCs w:val="20"/>
              </w:rPr>
            </w:pPr>
            <w:r w:rsidRPr="008240A4">
              <w:rPr>
                <w:b/>
                <w:sz w:val="20"/>
                <w:szCs w:val="20"/>
              </w:rPr>
              <w:t xml:space="preserve">Camps, Sports &amp; Excursion Fund </w:t>
            </w:r>
          </w:p>
          <w:p w:rsidR="000F29C4" w:rsidRPr="008240A4" w:rsidRDefault="000F29C4" w:rsidP="00441EED">
            <w:pPr>
              <w:rPr>
                <w:rFonts w:ascii="Calibri" w:hAnsi="Calibri" w:cs="Calibri"/>
                <w:b/>
                <w:sz w:val="20"/>
                <w:szCs w:val="20"/>
              </w:rPr>
            </w:pPr>
          </w:p>
        </w:tc>
        <w:tc>
          <w:tcPr>
            <w:tcW w:w="4395" w:type="dxa"/>
          </w:tcPr>
          <w:p w:rsidR="000F29C4" w:rsidRPr="008240A4" w:rsidRDefault="000F29C4" w:rsidP="000F29C4">
            <w:pPr>
              <w:tabs>
                <w:tab w:val="left" w:pos="1140"/>
              </w:tabs>
              <w:contextualSpacing/>
              <w:rPr>
                <w:sz w:val="20"/>
                <w:szCs w:val="20"/>
              </w:rPr>
            </w:pPr>
            <w:r w:rsidRPr="008240A4">
              <w:rPr>
                <w:sz w:val="20"/>
                <w:szCs w:val="20"/>
              </w:rPr>
              <w:t>The Camps, Sports and Excursions Fund (CSEF) is means tested or available to concession card holders to help families cover the costs of camps etc. It is paid to the school and you apply via a form to the school that can be downloaded via www.education.vic.gov.au/csef. This funding is $125.00 for primary students and $225 for secondary school children.</w:t>
            </w:r>
          </w:p>
          <w:p w:rsidR="000F29C4" w:rsidRPr="008240A4" w:rsidRDefault="000F29C4" w:rsidP="00C371C2">
            <w:pPr>
              <w:pStyle w:val="NormalWeb"/>
              <w:shd w:val="clear" w:color="auto" w:fill="FFFFFF"/>
              <w:spacing w:before="192" w:beforeAutospacing="0" w:after="192" w:afterAutospacing="0"/>
              <w:rPr>
                <w:rFonts w:ascii="Calibri" w:hAnsi="Calibri" w:cs="Calibri"/>
                <w:sz w:val="20"/>
                <w:szCs w:val="20"/>
              </w:rPr>
            </w:pPr>
          </w:p>
        </w:tc>
        <w:tc>
          <w:tcPr>
            <w:tcW w:w="3402" w:type="dxa"/>
          </w:tcPr>
          <w:p w:rsidR="000F29C4" w:rsidRPr="008240A4" w:rsidRDefault="00CA22C7" w:rsidP="000F29C4">
            <w:pPr>
              <w:tabs>
                <w:tab w:val="left" w:pos="1140"/>
              </w:tabs>
              <w:contextualSpacing/>
              <w:rPr>
                <w:sz w:val="20"/>
                <w:szCs w:val="20"/>
              </w:rPr>
            </w:pPr>
            <w:hyperlink r:id="rId18" w:history="1">
              <w:r w:rsidR="000F29C4" w:rsidRPr="008240A4">
                <w:rPr>
                  <w:rStyle w:val="Hyperlink"/>
                  <w:color w:val="auto"/>
                  <w:sz w:val="20"/>
                  <w:szCs w:val="20"/>
                </w:rPr>
                <w:t>https://www.education.vic.gov.au/about/programs/Pages/csef.aspx</w:t>
              </w:r>
            </w:hyperlink>
          </w:p>
          <w:p w:rsidR="000F29C4" w:rsidRPr="008240A4" w:rsidRDefault="000F29C4" w:rsidP="00C371C2">
            <w:pPr>
              <w:rPr>
                <w:rFonts w:ascii="Calibri" w:hAnsi="Calibri" w:cs="Calibri"/>
                <w:sz w:val="20"/>
                <w:szCs w:val="20"/>
              </w:rPr>
            </w:pPr>
          </w:p>
        </w:tc>
      </w:tr>
      <w:tr w:rsidR="000F29C4" w:rsidTr="0033651A">
        <w:tc>
          <w:tcPr>
            <w:tcW w:w="2410" w:type="dxa"/>
          </w:tcPr>
          <w:p w:rsidR="000F29C4" w:rsidRPr="008240A4" w:rsidRDefault="000F29C4" w:rsidP="000F29C4">
            <w:pPr>
              <w:rPr>
                <w:rFonts w:cs="Arial"/>
                <w:b/>
                <w:sz w:val="20"/>
                <w:szCs w:val="20"/>
                <w:shd w:val="clear" w:color="auto" w:fill="FFFFFF"/>
              </w:rPr>
            </w:pPr>
            <w:r w:rsidRPr="008240A4">
              <w:rPr>
                <w:rFonts w:cs="Arial"/>
                <w:b/>
                <w:sz w:val="20"/>
                <w:szCs w:val="20"/>
                <w:shd w:val="clear" w:color="auto" w:fill="FFFFFF"/>
              </w:rPr>
              <w:t>Community Support Frankston</w:t>
            </w:r>
          </w:p>
          <w:p w:rsidR="000F29C4" w:rsidRPr="008240A4" w:rsidRDefault="000F29C4" w:rsidP="000F29C4">
            <w:pPr>
              <w:rPr>
                <w:b/>
                <w:sz w:val="20"/>
                <w:szCs w:val="20"/>
              </w:rPr>
            </w:pPr>
          </w:p>
        </w:tc>
        <w:tc>
          <w:tcPr>
            <w:tcW w:w="4395" w:type="dxa"/>
          </w:tcPr>
          <w:p w:rsidR="000F29C4" w:rsidRPr="008240A4" w:rsidRDefault="000F29C4" w:rsidP="000F29C4">
            <w:pPr>
              <w:tabs>
                <w:tab w:val="left" w:pos="1140"/>
              </w:tabs>
              <w:contextualSpacing/>
              <w:rPr>
                <w:sz w:val="20"/>
                <w:szCs w:val="20"/>
              </w:rPr>
            </w:pPr>
          </w:p>
        </w:tc>
        <w:tc>
          <w:tcPr>
            <w:tcW w:w="3402" w:type="dxa"/>
          </w:tcPr>
          <w:p w:rsidR="000F29C4" w:rsidRPr="008240A4" w:rsidRDefault="00CA22C7" w:rsidP="000F29C4">
            <w:pPr>
              <w:rPr>
                <w:rFonts w:cs="Arial"/>
                <w:sz w:val="20"/>
                <w:szCs w:val="20"/>
                <w:shd w:val="clear" w:color="auto" w:fill="FFFFFF"/>
              </w:rPr>
            </w:pPr>
            <w:hyperlink r:id="rId19" w:history="1">
              <w:r w:rsidR="000F29C4" w:rsidRPr="008240A4">
                <w:rPr>
                  <w:rStyle w:val="Hyperlink"/>
                  <w:rFonts w:cs="Arial"/>
                  <w:color w:val="auto"/>
                  <w:sz w:val="20"/>
                  <w:szCs w:val="20"/>
                  <w:shd w:val="clear" w:color="auto" w:fill="FFFFFF"/>
                </w:rPr>
                <w:t>http://www.frankston.net/</w:t>
              </w:r>
            </w:hyperlink>
          </w:p>
          <w:p w:rsidR="000F29C4" w:rsidRPr="008240A4" w:rsidRDefault="000F29C4" w:rsidP="000F29C4">
            <w:pPr>
              <w:tabs>
                <w:tab w:val="left" w:pos="1140"/>
              </w:tabs>
              <w:contextualSpacing/>
              <w:rPr>
                <w:rStyle w:val="Hyperlink"/>
                <w:color w:val="auto"/>
                <w:sz w:val="20"/>
                <w:szCs w:val="20"/>
              </w:rPr>
            </w:pPr>
          </w:p>
        </w:tc>
      </w:tr>
      <w:tr w:rsidR="00F707A4" w:rsidTr="0033651A">
        <w:tc>
          <w:tcPr>
            <w:tcW w:w="2410" w:type="dxa"/>
          </w:tcPr>
          <w:p w:rsidR="00F707A4" w:rsidRPr="008240A4" w:rsidRDefault="00F707A4" w:rsidP="00F707A4">
            <w:pPr>
              <w:rPr>
                <w:rFonts w:cs="Arial"/>
                <w:b/>
                <w:sz w:val="20"/>
                <w:szCs w:val="20"/>
                <w:shd w:val="clear" w:color="auto" w:fill="FFFFFF"/>
              </w:rPr>
            </w:pPr>
            <w:r w:rsidRPr="008240A4">
              <w:rPr>
                <w:rFonts w:cs="Arial"/>
                <w:b/>
                <w:sz w:val="20"/>
                <w:szCs w:val="20"/>
                <w:shd w:val="clear" w:color="auto" w:fill="FFFFFF"/>
              </w:rPr>
              <w:t>Commonwealth Bank Domestic &amp; Family Violence Assistance Program</w:t>
            </w:r>
          </w:p>
          <w:p w:rsidR="00F707A4" w:rsidRPr="008240A4" w:rsidRDefault="00F707A4" w:rsidP="008240A4">
            <w:pPr>
              <w:rPr>
                <w:rFonts w:cs="Arial"/>
                <w:b/>
                <w:sz w:val="20"/>
                <w:szCs w:val="20"/>
                <w:shd w:val="clear" w:color="auto" w:fill="FFFFFF"/>
              </w:rPr>
            </w:pPr>
          </w:p>
        </w:tc>
        <w:tc>
          <w:tcPr>
            <w:tcW w:w="4395" w:type="dxa"/>
          </w:tcPr>
          <w:p w:rsidR="008240A4" w:rsidRPr="008240A4" w:rsidRDefault="008240A4" w:rsidP="008240A4">
            <w:pPr>
              <w:rPr>
                <w:rFonts w:cs="Arial"/>
                <w:sz w:val="20"/>
                <w:szCs w:val="20"/>
                <w:shd w:val="clear" w:color="auto" w:fill="FFFFFF"/>
              </w:rPr>
            </w:pPr>
            <w:r w:rsidRPr="008240A4">
              <w:rPr>
                <w:rFonts w:cs="Arial"/>
                <w:sz w:val="20"/>
                <w:szCs w:val="20"/>
                <w:shd w:val="clear" w:color="auto" w:fill="FFFFFF"/>
              </w:rPr>
              <w:t>If you are an eligible CBA customer you can access our Domestic &amp; Family Violence Assistance Program to support you and your family experiencing a domestic or family violence situation.</w:t>
            </w:r>
          </w:p>
          <w:p w:rsidR="00F707A4" w:rsidRPr="008240A4" w:rsidRDefault="00F707A4" w:rsidP="000F29C4">
            <w:pPr>
              <w:tabs>
                <w:tab w:val="left" w:pos="1140"/>
              </w:tabs>
              <w:contextualSpacing/>
              <w:rPr>
                <w:sz w:val="20"/>
                <w:szCs w:val="20"/>
              </w:rPr>
            </w:pPr>
          </w:p>
        </w:tc>
        <w:tc>
          <w:tcPr>
            <w:tcW w:w="3402" w:type="dxa"/>
          </w:tcPr>
          <w:p w:rsidR="008240A4" w:rsidRPr="008240A4" w:rsidRDefault="00CA22C7" w:rsidP="008240A4">
            <w:pPr>
              <w:rPr>
                <w:rFonts w:cs="Arial"/>
                <w:sz w:val="20"/>
                <w:szCs w:val="20"/>
                <w:shd w:val="clear" w:color="auto" w:fill="FFFFFF"/>
              </w:rPr>
            </w:pPr>
            <w:hyperlink r:id="rId20" w:history="1">
              <w:r w:rsidR="008240A4" w:rsidRPr="008240A4">
                <w:rPr>
                  <w:rStyle w:val="Hyperlink"/>
                  <w:rFonts w:cs="Arial"/>
                  <w:color w:val="auto"/>
                  <w:sz w:val="20"/>
                  <w:szCs w:val="20"/>
                  <w:shd w:val="clear" w:color="auto" w:fill="FFFFFF"/>
                </w:rPr>
                <w:t>https://www.commbank.com.au/support/dv-assistance.html</w:t>
              </w:r>
            </w:hyperlink>
          </w:p>
          <w:p w:rsidR="00F707A4" w:rsidRPr="008240A4" w:rsidRDefault="00F707A4" w:rsidP="000F29C4">
            <w:pPr>
              <w:rPr>
                <w:rStyle w:val="Hyperlink"/>
                <w:rFonts w:cs="Arial"/>
                <w:color w:val="auto"/>
                <w:sz w:val="20"/>
                <w:szCs w:val="20"/>
                <w:shd w:val="clear" w:color="auto" w:fill="FFFFFF"/>
              </w:rPr>
            </w:pPr>
          </w:p>
        </w:tc>
      </w:tr>
      <w:tr w:rsidR="00D63D9A" w:rsidTr="0033651A">
        <w:tc>
          <w:tcPr>
            <w:tcW w:w="2410" w:type="dxa"/>
          </w:tcPr>
          <w:p w:rsidR="00D63D9A" w:rsidRPr="008240A4" w:rsidRDefault="00D63D9A" w:rsidP="00F707A4">
            <w:pPr>
              <w:rPr>
                <w:rFonts w:cs="Arial"/>
                <w:b/>
                <w:sz w:val="20"/>
                <w:szCs w:val="20"/>
                <w:shd w:val="clear" w:color="auto" w:fill="FFFFFF"/>
              </w:rPr>
            </w:pPr>
            <w:r>
              <w:rPr>
                <w:rFonts w:cs="Arial"/>
                <w:b/>
                <w:sz w:val="20"/>
                <w:szCs w:val="20"/>
                <w:shd w:val="clear" w:color="auto" w:fill="FFFFFF"/>
              </w:rPr>
              <w:t>Escaping Violence Program (EVP)</w:t>
            </w:r>
          </w:p>
        </w:tc>
        <w:tc>
          <w:tcPr>
            <w:tcW w:w="4395" w:type="dxa"/>
          </w:tcPr>
          <w:p w:rsidR="00D63D9A" w:rsidRPr="008240A4" w:rsidRDefault="00D63D9A" w:rsidP="008240A4">
            <w:pPr>
              <w:rPr>
                <w:rFonts w:cs="Arial"/>
                <w:sz w:val="20"/>
                <w:szCs w:val="20"/>
                <w:shd w:val="clear" w:color="auto" w:fill="FFFFFF"/>
              </w:rPr>
            </w:pPr>
            <w:r>
              <w:t>The Escaping Violence Payment (EVP) offers financial assistance and confidential support to help people move forward and set up a home that’s free from violence. The violence can be: · Physically, verbally or sexually abusive · Emotionally, spiritually or psychologically abusive · Economically abusive · Threatening, coercive, or seeking to control or dominate the other person</w:t>
            </w:r>
          </w:p>
        </w:tc>
        <w:tc>
          <w:tcPr>
            <w:tcW w:w="3402" w:type="dxa"/>
          </w:tcPr>
          <w:p w:rsidR="00D63D9A" w:rsidRDefault="00CA22C7" w:rsidP="008240A4">
            <w:pPr>
              <w:rPr>
                <w:rStyle w:val="Hyperlink"/>
                <w:rFonts w:cs="Arial"/>
                <w:color w:val="auto"/>
                <w:sz w:val="20"/>
                <w:szCs w:val="20"/>
                <w:shd w:val="clear" w:color="auto" w:fill="FFFFFF"/>
              </w:rPr>
            </w:pPr>
            <w:hyperlink r:id="rId21" w:history="1">
              <w:r w:rsidR="00D63D9A" w:rsidRPr="00D63D9A">
                <w:rPr>
                  <w:rStyle w:val="Hyperlink"/>
                  <w:color w:val="auto"/>
                </w:rPr>
                <w:t>Escaping Violence Program - SouthSafe</w:t>
              </w:r>
            </w:hyperlink>
          </w:p>
        </w:tc>
      </w:tr>
      <w:tr w:rsidR="00C371C2" w:rsidTr="0033651A">
        <w:tc>
          <w:tcPr>
            <w:tcW w:w="2410" w:type="dxa"/>
          </w:tcPr>
          <w:p w:rsidR="00C371C2" w:rsidRPr="008240A4" w:rsidRDefault="00C371C2" w:rsidP="00C371C2">
            <w:pPr>
              <w:rPr>
                <w:rFonts w:ascii="Calibri" w:hAnsi="Calibri" w:cs="Calibri"/>
                <w:b/>
                <w:sz w:val="20"/>
                <w:szCs w:val="20"/>
              </w:rPr>
            </w:pPr>
          </w:p>
          <w:p w:rsidR="00C371C2" w:rsidRPr="008240A4" w:rsidRDefault="00C371C2" w:rsidP="00C371C2">
            <w:pPr>
              <w:rPr>
                <w:rFonts w:ascii="Calibri" w:hAnsi="Calibri" w:cs="Calibri"/>
                <w:b/>
                <w:sz w:val="20"/>
                <w:szCs w:val="20"/>
              </w:rPr>
            </w:pPr>
            <w:r w:rsidRPr="008240A4">
              <w:rPr>
                <w:rFonts w:ascii="Calibri" w:hAnsi="Calibri" w:cs="Calibri"/>
                <w:b/>
                <w:sz w:val="20"/>
                <w:szCs w:val="20"/>
              </w:rPr>
              <w:t>Family Violence FSPs</w:t>
            </w:r>
          </w:p>
          <w:p w:rsidR="00C371C2" w:rsidRPr="008240A4" w:rsidRDefault="00C371C2" w:rsidP="00441EED">
            <w:pPr>
              <w:rPr>
                <w:rFonts w:ascii="Calibri" w:hAnsi="Calibri" w:cs="Calibri"/>
                <w:b/>
                <w:sz w:val="20"/>
                <w:szCs w:val="20"/>
              </w:rPr>
            </w:pPr>
          </w:p>
        </w:tc>
        <w:tc>
          <w:tcPr>
            <w:tcW w:w="4395" w:type="dxa"/>
          </w:tcPr>
          <w:p w:rsidR="00C371C2" w:rsidRPr="008240A4" w:rsidRDefault="00C371C2" w:rsidP="00C371C2">
            <w:pPr>
              <w:pStyle w:val="NormalWeb"/>
              <w:shd w:val="clear" w:color="auto" w:fill="FFFFFF"/>
              <w:spacing w:before="192" w:beforeAutospacing="0" w:after="192" w:afterAutospacing="0"/>
              <w:rPr>
                <w:rFonts w:ascii="Calibri" w:hAnsi="Calibri" w:cs="Calibri"/>
                <w:sz w:val="20"/>
                <w:szCs w:val="20"/>
              </w:rPr>
            </w:pPr>
            <w:r w:rsidRPr="008240A4">
              <w:rPr>
                <w:rFonts w:ascii="Calibri" w:hAnsi="Calibri" w:cs="Calibri"/>
                <w:sz w:val="20"/>
                <w:szCs w:val="20"/>
              </w:rPr>
              <w:t>Guidelines and Application form available on the SouthSafe website.</w:t>
            </w:r>
          </w:p>
        </w:tc>
        <w:tc>
          <w:tcPr>
            <w:tcW w:w="3402" w:type="dxa"/>
          </w:tcPr>
          <w:p w:rsidR="00C371C2" w:rsidRPr="008240A4" w:rsidRDefault="00C371C2" w:rsidP="00C371C2">
            <w:pPr>
              <w:rPr>
                <w:rStyle w:val="Hyperlink"/>
                <w:rFonts w:ascii="Calibri" w:hAnsi="Calibri" w:cs="Calibri"/>
                <w:color w:val="auto"/>
                <w:sz w:val="20"/>
                <w:szCs w:val="20"/>
              </w:rPr>
            </w:pPr>
          </w:p>
          <w:p w:rsidR="00C371C2" w:rsidRPr="008240A4" w:rsidRDefault="00CA22C7" w:rsidP="00C371C2">
            <w:pPr>
              <w:rPr>
                <w:rFonts w:ascii="Calibri" w:hAnsi="Calibri" w:cs="Calibri"/>
                <w:sz w:val="20"/>
                <w:szCs w:val="20"/>
              </w:rPr>
            </w:pPr>
            <w:hyperlink r:id="rId22" w:history="1">
              <w:r w:rsidR="00C371C2" w:rsidRPr="008240A4">
                <w:rPr>
                  <w:rStyle w:val="Hyperlink"/>
                  <w:rFonts w:ascii="Calibri" w:hAnsi="Calibri" w:cs="Calibri"/>
                  <w:color w:val="auto"/>
                  <w:sz w:val="20"/>
                  <w:szCs w:val="20"/>
                </w:rPr>
                <w:t>https://southsafe.com.au/bayside-peninsula-flexible-support-packages/</w:t>
              </w:r>
            </w:hyperlink>
            <w:r w:rsidR="00C371C2" w:rsidRPr="008240A4">
              <w:rPr>
                <w:rFonts w:ascii="Calibri" w:hAnsi="Calibri" w:cs="Calibri"/>
                <w:sz w:val="20"/>
                <w:szCs w:val="20"/>
              </w:rPr>
              <w:t xml:space="preserve"> </w:t>
            </w:r>
          </w:p>
          <w:p w:rsidR="00C371C2" w:rsidRPr="008240A4" w:rsidRDefault="00C371C2" w:rsidP="00C371C2">
            <w:pPr>
              <w:rPr>
                <w:rFonts w:ascii="Calibri" w:hAnsi="Calibri" w:cs="Calibri"/>
                <w:sz w:val="20"/>
                <w:szCs w:val="20"/>
              </w:rPr>
            </w:pPr>
          </w:p>
        </w:tc>
      </w:tr>
      <w:tr w:rsidR="000F29C4" w:rsidTr="0033651A">
        <w:tc>
          <w:tcPr>
            <w:tcW w:w="2410" w:type="dxa"/>
          </w:tcPr>
          <w:p w:rsidR="000F29C4" w:rsidRPr="008240A4" w:rsidRDefault="000F29C4" w:rsidP="00C371C2">
            <w:pPr>
              <w:rPr>
                <w:b/>
                <w:sz w:val="20"/>
                <w:szCs w:val="20"/>
              </w:rPr>
            </w:pPr>
          </w:p>
          <w:p w:rsidR="000F29C4" w:rsidRPr="008240A4" w:rsidRDefault="000F29C4" w:rsidP="00C371C2">
            <w:pPr>
              <w:rPr>
                <w:rFonts w:ascii="Calibri" w:hAnsi="Calibri" w:cs="Calibri"/>
                <w:b/>
                <w:sz w:val="20"/>
                <w:szCs w:val="20"/>
              </w:rPr>
            </w:pPr>
            <w:r w:rsidRPr="008240A4">
              <w:rPr>
                <w:b/>
                <w:sz w:val="20"/>
                <w:szCs w:val="20"/>
              </w:rPr>
              <w:t>Good Shepherd Microfinance</w:t>
            </w:r>
          </w:p>
        </w:tc>
        <w:tc>
          <w:tcPr>
            <w:tcW w:w="4395" w:type="dxa"/>
          </w:tcPr>
          <w:p w:rsidR="000F29C4" w:rsidRPr="008240A4" w:rsidRDefault="000F29C4" w:rsidP="000F29C4">
            <w:pPr>
              <w:pStyle w:val="ListParagraph"/>
              <w:tabs>
                <w:tab w:val="left" w:pos="1140"/>
              </w:tabs>
              <w:rPr>
                <w:sz w:val="20"/>
                <w:szCs w:val="20"/>
              </w:rPr>
            </w:pPr>
          </w:p>
          <w:p w:rsidR="000F29C4" w:rsidRPr="008240A4" w:rsidRDefault="000F29C4" w:rsidP="000F29C4">
            <w:pPr>
              <w:rPr>
                <w:rFonts w:cs="Arial"/>
                <w:sz w:val="20"/>
                <w:szCs w:val="20"/>
                <w:shd w:val="clear" w:color="auto" w:fill="FFFFFF"/>
              </w:rPr>
            </w:pPr>
            <w:r w:rsidRPr="008240A4">
              <w:rPr>
                <w:sz w:val="20"/>
                <w:szCs w:val="20"/>
              </w:rPr>
              <w:t>Good Shepherd Microfinance has a range of financial programs and loans that you may be eligible for that assist with education and other expenses, including help for IT equipment.</w:t>
            </w:r>
          </w:p>
          <w:p w:rsidR="000F29C4" w:rsidRPr="008240A4" w:rsidRDefault="000F29C4" w:rsidP="00C371C2">
            <w:pPr>
              <w:pStyle w:val="NormalWeb"/>
              <w:shd w:val="clear" w:color="auto" w:fill="FFFFFF"/>
              <w:spacing w:before="192" w:beforeAutospacing="0" w:after="192" w:afterAutospacing="0"/>
              <w:rPr>
                <w:rFonts w:ascii="Calibri" w:hAnsi="Calibri" w:cs="Calibri"/>
                <w:sz w:val="20"/>
                <w:szCs w:val="20"/>
              </w:rPr>
            </w:pPr>
          </w:p>
        </w:tc>
        <w:tc>
          <w:tcPr>
            <w:tcW w:w="3402" w:type="dxa"/>
          </w:tcPr>
          <w:p w:rsidR="000F29C4" w:rsidRPr="008240A4" w:rsidRDefault="000F29C4" w:rsidP="000F29C4">
            <w:pPr>
              <w:rPr>
                <w:rStyle w:val="Hyperlink"/>
                <w:color w:val="auto"/>
                <w:sz w:val="20"/>
                <w:szCs w:val="20"/>
              </w:rPr>
            </w:pPr>
          </w:p>
          <w:p w:rsidR="000F29C4" w:rsidRPr="008240A4" w:rsidRDefault="00CA22C7" w:rsidP="000F29C4">
            <w:pPr>
              <w:rPr>
                <w:sz w:val="20"/>
                <w:szCs w:val="20"/>
              </w:rPr>
            </w:pPr>
            <w:hyperlink r:id="rId23" w:history="1">
              <w:r w:rsidR="000F29C4" w:rsidRPr="008240A4">
                <w:rPr>
                  <w:rStyle w:val="Hyperlink"/>
                  <w:color w:val="auto"/>
                  <w:sz w:val="20"/>
                  <w:szCs w:val="20"/>
                </w:rPr>
                <w:t>www.goodshepherdmicrofinance.org.au</w:t>
              </w:r>
            </w:hyperlink>
          </w:p>
          <w:p w:rsidR="000F29C4" w:rsidRPr="008240A4" w:rsidRDefault="000F29C4" w:rsidP="00C371C2">
            <w:pPr>
              <w:rPr>
                <w:rStyle w:val="Hyperlink"/>
                <w:rFonts w:ascii="Calibri" w:hAnsi="Calibri" w:cs="Calibri"/>
                <w:color w:val="auto"/>
                <w:sz w:val="20"/>
                <w:szCs w:val="20"/>
              </w:rPr>
            </w:pPr>
          </w:p>
        </w:tc>
      </w:tr>
      <w:tr w:rsidR="000F29C4" w:rsidTr="0033651A">
        <w:tc>
          <w:tcPr>
            <w:tcW w:w="2410" w:type="dxa"/>
          </w:tcPr>
          <w:p w:rsidR="000F29C4" w:rsidRPr="008240A4" w:rsidRDefault="000F29C4" w:rsidP="000F29C4">
            <w:pPr>
              <w:rPr>
                <w:rFonts w:cs="Arial"/>
                <w:b/>
                <w:sz w:val="20"/>
                <w:szCs w:val="20"/>
                <w:shd w:val="clear" w:color="auto" w:fill="FFFFFF"/>
              </w:rPr>
            </w:pPr>
            <w:r w:rsidRPr="008240A4">
              <w:rPr>
                <w:rFonts w:cs="Arial"/>
                <w:b/>
                <w:sz w:val="20"/>
                <w:szCs w:val="20"/>
                <w:shd w:val="clear" w:color="auto" w:fill="FFFFFF"/>
              </w:rPr>
              <w:t>Mums Supporting Families in Need (MSFIN)</w:t>
            </w:r>
          </w:p>
          <w:p w:rsidR="000F29C4" w:rsidRPr="008240A4" w:rsidRDefault="000F29C4" w:rsidP="00C371C2">
            <w:pPr>
              <w:rPr>
                <w:rFonts w:ascii="Calibri" w:hAnsi="Calibri" w:cs="Calibri"/>
                <w:b/>
                <w:sz w:val="20"/>
                <w:szCs w:val="20"/>
              </w:rPr>
            </w:pPr>
          </w:p>
        </w:tc>
        <w:tc>
          <w:tcPr>
            <w:tcW w:w="4395" w:type="dxa"/>
          </w:tcPr>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MSFIN provides new and quality second hand material aid such as cots, bassinets, car seats and prams for babies; clothing, shoes, linen, non-perishable food and toiletries for all ages as well as  nappies &amp; wipes and other baby essentials to families in circumstantial crisis.</w:t>
            </w:r>
          </w:p>
          <w:p w:rsidR="000F29C4" w:rsidRPr="008240A4" w:rsidRDefault="000F29C4" w:rsidP="00C371C2">
            <w:pPr>
              <w:pStyle w:val="NormalWeb"/>
              <w:shd w:val="clear" w:color="auto" w:fill="FFFFFF"/>
              <w:spacing w:before="192" w:beforeAutospacing="0" w:after="192" w:afterAutospacing="0"/>
              <w:rPr>
                <w:rFonts w:ascii="Calibri" w:hAnsi="Calibri" w:cs="Calibri"/>
                <w:sz w:val="20"/>
                <w:szCs w:val="20"/>
              </w:rPr>
            </w:pPr>
          </w:p>
        </w:tc>
        <w:tc>
          <w:tcPr>
            <w:tcW w:w="3402" w:type="dxa"/>
          </w:tcPr>
          <w:p w:rsidR="000F29C4" w:rsidRPr="008240A4" w:rsidRDefault="00CA22C7" w:rsidP="000F29C4">
            <w:pPr>
              <w:rPr>
                <w:rFonts w:cs="Arial"/>
                <w:sz w:val="20"/>
                <w:szCs w:val="20"/>
                <w:shd w:val="clear" w:color="auto" w:fill="FFFFFF"/>
              </w:rPr>
            </w:pPr>
            <w:hyperlink r:id="rId24" w:history="1">
              <w:r w:rsidR="000F29C4" w:rsidRPr="008240A4">
                <w:rPr>
                  <w:rStyle w:val="Hyperlink"/>
                  <w:rFonts w:cs="Arial"/>
                  <w:color w:val="auto"/>
                  <w:sz w:val="20"/>
                  <w:szCs w:val="20"/>
                  <w:shd w:val="clear" w:color="auto" w:fill="FFFFFF"/>
                </w:rPr>
                <w:t>https://www.msfin.org.au/</w:t>
              </w:r>
            </w:hyperlink>
          </w:p>
          <w:p w:rsidR="000F29C4" w:rsidRPr="008240A4" w:rsidRDefault="000F29C4" w:rsidP="00C371C2">
            <w:pPr>
              <w:rPr>
                <w:rStyle w:val="Hyperlink"/>
                <w:rFonts w:ascii="Calibri" w:hAnsi="Calibri" w:cs="Calibri"/>
                <w:color w:val="auto"/>
                <w:sz w:val="20"/>
                <w:szCs w:val="20"/>
              </w:rPr>
            </w:pPr>
          </w:p>
        </w:tc>
      </w:tr>
      <w:tr w:rsidR="008240A4" w:rsidTr="0033651A">
        <w:tc>
          <w:tcPr>
            <w:tcW w:w="2410" w:type="dxa"/>
          </w:tcPr>
          <w:p w:rsidR="008240A4" w:rsidRPr="008240A4" w:rsidRDefault="008240A4" w:rsidP="008240A4">
            <w:pPr>
              <w:rPr>
                <w:rFonts w:cs="Arial"/>
                <w:b/>
                <w:sz w:val="20"/>
                <w:szCs w:val="20"/>
                <w:shd w:val="clear" w:color="auto" w:fill="FFFFFF"/>
              </w:rPr>
            </w:pPr>
            <w:r w:rsidRPr="008240A4">
              <w:rPr>
                <w:rFonts w:cs="Arial"/>
                <w:b/>
                <w:sz w:val="20"/>
                <w:szCs w:val="20"/>
                <w:shd w:val="clear" w:color="auto" w:fill="FFFFFF"/>
              </w:rPr>
              <w:t>NAB Domestic and Family Violence Assistance Grants</w:t>
            </w:r>
          </w:p>
          <w:p w:rsidR="008240A4" w:rsidRPr="008240A4" w:rsidRDefault="008240A4" w:rsidP="000F29C4">
            <w:pPr>
              <w:rPr>
                <w:rFonts w:cs="Arial"/>
                <w:b/>
                <w:sz w:val="20"/>
                <w:szCs w:val="20"/>
                <w:shd w:val="clear" w:color="auto" w:fill="FFFFFF"/>
              </w:rPr>
            </w:pPr>
          </w:p>
        </w:tc>
        <w:tc>
          <w:tcPr>
            <w:tcW w:w="4395" w:type="dxa"/>
          </w:tcPr>
          <w:p w:rsidR="008240A4" w:rsidRPr="008240A4" w:rsidRDefault="008240A4" w:rsidP="008240A4">
            <w:pPr>
              <w:rPr>
                <w:rFonts w:cs="Arial"/>
                <w:sz w:val="20"/>
                <w:szCs w:val="20"/>
                <w:shd w:val="clear" w:color="auto" w:fill="FFFFFF"/>
              </w:rPr>
            </w:pPr>
            <w:r w:rsidRPr="008240A4">
              <w:rPr>
                <w:rFonts w:cs="Arial"/>
                <w:sz w:val="20"/>
                <w:szCs w:val="20"/>
                <w:shd w:val="clear" w:color="auto" w:fill="FFFFFF"/>
              </w:rPr>
              <w:t>Offering Domestic and Family Violence Assistance Grants and managing current financial arrangements.</w:t>
            </w:r>
          </w:p>
          <w:p w:rsidR="008240A4" w:rsidRPr="008240A4" w:rsidRDefault="008240A4" w:rsidP="000F29C4">
            <w:pPr>
              <w:rPr>
                <w:rFonts w:cs="Arial"/>
                <w:sz w:val="20"/>
                <w:szCs w:val="20"/>
                <w:shd w:val="clear" w:color="auto" w:fill="FFFFFF"/>
              </w:rPr>
            </w:pPr>
          </w:p>
        </w:tc>
        <w:tc>
          <w:tcPr>
            <w:tcW w:w="3402" w:type="dxa"/>
          </w:tcPr>
          <w:p w:rsidR="008240A4" w:rsidRPr="008240A4" w:rsidRDefault="00CA22C7" w:rsidP="008240A4">
            <w:pPr>
              <w:tabs>
                <w:tab w:val="left" w:pos="1140"/>
              </w:tabs>
              <w:contextualSpacing/>
              <w:rPr>
                <w:sz w:val="20"/>
                <w:szCs w:val="20"/>
              </w:rPr>
            </w:pPr>
            <w:hyperlink r:id="rId25" w:history="1">
              <w:r w:rsidR="008240A4" w:rsidRPr="008240A4">
                <w:rPr>
                  <w:rStyle w:val="Hyperlink"/>
                  <w:color w:val="auto"/>
                  <w:sz w:val="20"/>
                  <w:szCs w:val="20"/>
                </w:rPr>
                <w:t>https://www.nab.com.au/about-us/social-impact/customers/domestic-and-family-violence/experiencing-domestic-violence</w:t>
              </w:r>
            </w:hyperlink>
          </w:p>
          <w:p w:rsidR="008240A4" w:rsidRPr="008240A4" w:rsidRDefault="008240A4" w:rsidP="000F29C4">
            <w:pPr>
              <w:rPr>
                <w:rStyle w:val="Hyperlink"/>
                <w:rFonts w:cs="Arial"/>
                <w:color w:val="auto"/>
                <w:sz w:val="20"/>
                <w:szCs w:val="20"/>
                <w:shd w:val="clear" w:color="auto" w:fill="FFFFFF"/>
              </w:rPr>
            </w:pPr>
          </w:p>
        </w:tc>
      </w:tr>
      <w:tr w:rsidR="000F29C4" w:rsidTr="0033651A">
        <w:tc>
          <w:tcPr>
            <w:tcW w:w="2410" w:type="dxa"/>
          </w:tcPr>
          <w:p w:rsidR="000F29C4" w:rsidRPr="008240A4" w:rsidRDefault="000F29C4" w:rsidP="000F29C4">
            <w:pPr>
              <w:rPr>
                <w:rFonts w:cs="Arial"/>
                <w:b/>
                <w:sz w:val="20"/>
                <w:szCs w:val="20"/>
                <w:shd w:val="clear" w:color="auto" w:fill="FFFFFF"/>
              </w:rPr>
            </w:pPr>
            <w:r w:rsidRPr="008240A4">
              <w:rPr>
                <w:rFonts w:cs="Arial"/>
                <w:b/>
                <w:sz w:val="20"/>
                <w:szCs w:val="20"/>
                <w:shd w:val="clear" w:color="auto" w:fill="FFFFFF"/>
              </w:rPr>
              <w:t>Saver Plus - Brotherhood of St Laurence and ANZ</w:t>
            </w:r>
          </w:p>
          <w:p w:rsidR="000F29C4" w:rsidRPr="008240A4" w:rsidRDefault="000F29C4" w:rsidP="000F29C4">
            <w:pPr>
              <w:jc w:val="center"/>
              <w:rPr>
                <w:rFonts w:cs="Arial"/>
                <w:b/>
                <w:sz w:val="20"/>
                <w:szCs w:val="20"/>
                <w:shd w:val="clear" w:color="auto" w:fill="FFFFFF"/>
              </w:rPr>
            </w:pPr>
          </w:p>
        </w:tc>
        <w:tc>
          <w:tcPr>
            <w:tcW w:w="4395" w:type="dxa"/>
          </w:tcPr>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The Saver Plus program can help you save enough money for educational costs. The program will help you save $500 over 10 months and then match this dollar for dollar to spend on educational items. The program involves education sessions on finances, which give you tips on how to make savings.</w:t>
            </w:r>
          </w:p>
          <w:p w:rsidR="000F29C4" w:rsidRPr="008240A4" w:rsidRDefault="000F29C4" w:rsidP="000F29C4">
            <w:pPr>
              <w:rPr>
                <w:rFonts w:cs="Arial"/>
                <w:sz w:val="20"/>
                <w:szCs w:val="20"/>
                <w:shd w:val="clear" w:color="auto" w:fill="FFFFFF"/>
              </w:rPr>
            </w:pPr>
          </w:p>
        </w:tc>
        <w:tc>
          <w:tcPr>
            <w:tcW w:w="3402" w:type="dxa"/>
          </w:tcPr>
          <w:p w:rsidR="000F29C4" w:rsidRPr="008240A4" w:rsidRDefault="00CA22C7" w:rsidP="000F29C4">
            <w:pPr>
              <w:rPr>
                <w:rFonts w:cs="Arial"/>
                <w:sz w:val="20"/>
                <w:szCs w:val="20"/>
                <w:shd w:val="clear" w:color="auto" w:fill="FFFFFF"/>
              </w:rPr>
            </w:pPr>
            <w:hyperlink r:id="rId26" w:history="1">
              <w:r w:rsidR="000F29C4" w:rsidRPr="008240A4">
                <w:rPr>
                  <w:rStyle w:val="Hyperlink"/>
                  <w:rFonts w:cs="Arial"/>
                  <w:color w:val="auto"/>
                  <w:sz w:val="20"/>
                  <w:szCs w:val="20"/>
                  <w:shd w:val="clear" w:color="auto" w:fill="FFFFFF"/>
                </w:rPr>
                <w:t>www.bsl.org.au</w:t>
              </w:r>
            </w:hyperlink>
          </w:p>
          <w:p w:rsidR="000F29C4" w:rsidRPr="008240A4" w:rsidRDefault="000F29C4" w:rsidP="000F29C4">
            <w:pPr>
              <w:rPr>
                <w:rStyle w:val="Hyperlink"/>
                <w:rFonts w:cs="Arial"/>
                <w:color w:val="auto"/>
                <w:sz w:val="20"/>
                <w:szCs w:val="20"/>
                <w:shd w:val="clear" w:color="auto" w:fill="FFFFFF"/>
              </w:rPr>
            </w:pPr>
          </w:p>
        </w:tc>
      </w:tr>
      <w:tr w:rsidR="00C371C2" w:rsidTr="0033651A">
        <w:tc>
          <w:tcPr>
            <w:tcW w:w="2410" w:type="dxa"/>
          </w:tcPr>
          <w:p w:rsidR="00C371C2" w:rsidRPr="008240A4" w:rsidRDefault="00C371C2" w:rsidP="00C371C2">
            <w:pPr>
              <w:tabs>
                <w:tab w:val="left" w:pos="1140"/>
              </w:tabs>
              <w:contextualSpacing/>
              <w:rPr>
                <w:rFonts w:cstheme="minorHAnsi"/>
                <w:b/>
                <w:sz w:val="20"/>
                <w:szCs w:val="20"/>
              </w:rPr>
            </w:pPr>
            <w:r w:rsidRPr="008240A4">
              <w:rPr>
                <w:rFonts w:cstheme="minorHAnsi"/>
                <w:b/>
                <w:sz w:val="20"/>
                <w:szCs w:val="20"/>
              </w:rPr>
              <w:t xml:space="preserve">Statewide Children’s Resource Program </w:t>
            </w:r>
          </w:p>
          <w:p w:rsidR="00C371C2" w:rsidRPr="008240A4" w:rsidRDefault="00C371C2" w:rsidP="00C371C2">
            <w:pPr>
              <w:rPr>
                <w:rFonts w:cstheme="minorHAnsi"/>
                <w:b/>
                <w:sz w:val="20"/>
                <w:szCs w:val="20"/>
              </w:rPr>
            </w:pPr>
          </w:p>
        </w:tc>
        <w:tc>
          <w:tcPr>
            <w:tcW w:w="4395" w:type="dxa"/>
          </w:tcPr>
          <w:p w:rsidR="00C371C2" w:rsidRPr="008240A4" w:rsidRDefault="00C371C2" w:rsidP="00C371C2">
            <w:pPr>
              <w:pStyle w:val="NormalWeb"/>
              <w:shd w:val="clear" w:color="auto" w:fill="FFFFFF"/>
              <w:spacing w:before="192" w:beforeAutospacing="0" w:after="192" w:afterAutospacing="0"/>
              <w:rPr>
                <w:rFonts w:asciiTheme="minorHAnsi" w:hAnsiTheme="minorHAnsi" w:cstheme="minorHAnsi"/>
                <w:sz w:val="20"/>
                <w:szCs w:val="20"/>
              </w:rPr>
            </w:pPr>
            <w:r w:rsidRPr="008240A4">
              <w:rPr>
                <w:rFonts w:asciiTheme="minorHAnsi" w:hAnsiTheme="minorHAnsi" w:cstheme="minorHAnsi"/>
                <w:sz w:val="20"/>
                <w:szCs w:val="20"/>
              </w:rPr>
              <w:t>Funded by the Department of Health and Human Services to assist, support, and resource homelessness and other non-government services to respond more effectively to the needs of children who have experienced homelessness and/or family violence; including provision of brokerage.  $300 per child, can be accessed six monthly.</w:t>
            </w:r>
          </w:p>
        </w:tc>
        <w:tc>
          <w:tcPr>
            <w:tcW w:w="3402" w:type="dxa"/>
          </w:tcPr>
          <w:p w:rsidR="00C371C2" w:rsidRPr="008240A4" w:rsidRDefault="00C371C2" w:rsidP="00C371C2">
            <w:pPr>
              <w:tabs>
                <w:tab w:val="left" w:pos="1140"/>
              </w:tabs>
              <w:contextualSpacing/>
              <w:rPr>
                <w:rFonts w:cstheme="minorHAnsi"/>
                <w:sz w:val="20"/>
                <w:szCs w:val="20"/>
              </w:rPr>
            </w:pPr>
          </w:p>
          <w:p w:rsidR="00C371C2" w:rsidRPr="008240A4" w:rsidRDefault="00CA22C7" w:rsidP="00C371C2">
            <w:pPr>
              <w:tabs>
                <w:tab w:val="left" w:pos="1140"/>
              </w:tabs>
              <w:contextualSpacing/>
              <w:rPr>
                <w:rStyle w:val="Hyperlink"/>
                <w:rFonts w:cstheme="minorHAnsi"/>
                <w:color w:val="auto"/>
                <w:sz w:val="20"/>
                <w:szCs w:val="20"/>
              </w:rPr>
            </w:pPr>
            <w:hyperlink r:id="rId27" w:history="1">
              <w:r w:rsidR="00C371C2" w:rsidRPr="008240A4">
                <w:rPr>
                  <w:rStyle w:val="Hyperlink"/>
                  <w:rFonts w:cstheme="minorHAnsi"/>
                  <w:color w:val="auto"/>
                  <w:sz w:val="20"/>
                  <w:szCs w:val="20"/>
                </w:rPr>
                <w:t>http://statewidechildrenresourceprogram.weebly.com/</w:t>
              </w:r>
            </w:hyperlink>
          </w:p>
          <w:p w:rsidR="00C371C2" w:rsidRPr="008240A4" w:rsidRDefault="00C371C2" w:rsidP="00C371C2">
            <w:pPr>
              <w:tabs>
                <w:tab w:val="left" w:pos="1140"/>
              </w:tabs>
              <w:contextualSpacing/>
              <w:rPr>
                <w:rStyle w:val="Hyperlink"/>
                <w:rFonts w:cstheme="minorHAnsi"/>
                <w:color w:val="auto"/>
                <w:sz w:val="20"/>
                <w:szCs w:val="20"/>
              </w:rPr>
            </w:pPr>
          </w:p>
          <w:p w:rsidR="00C371C2" w:rsidRPr="008240A4" w:rsidRDefault="00C371C2" w:rsidP="00C371C2">
            <w:pPr>
              <w:tabs>
                <w:tab w:val="left" w:pos="1140"/>
              </w:tabs>
              <w:contextualSpacing/>
              <w:rPr>
                <w:rFonts w:cstheme="minorHAnsi"/>
                <w:sz w:val="20"/>
                <w:szCs w:val="20"/>
              </w:rPr>
            </w:pPr>
            <w:r w:rsidRPr="008240A4">
              <w:rPr>
                <w:rFonts w:cstheme="minorHAnsi"/>
                <w:sz w:val="20"/>
                <w:szCs w:val="20"/>
              </w:rPr>
              <w:t>Contact: 03 8626 5506</w:t>
            </w:r>
          </w:p>
          <w:p w:rsidR="00C371C2" w:rsidRPr="008240A4" w:rsidRDefault="00C371C2" w:rsidP="00C371C2">
            <w:pPr>
              <w:tabs>
                <w:tab w:val="left" w:pos="1140"/>
              </w:tabs>
              <w:contextualSpacing/>
              <w:rPr>
                <w:rFonts w:cstheme="minorHAnsi"/>
                <w:sz w:val="20"/>
                <w:szCs w:val="20"/>
              </w:rPr>
            </w:pPr>
          </w:p>
          <w:p w:rsidR="00C371C2" w:rsidRPr="008240A4" w:rsidRDefault="00C371C2" w:rsidP="00C371C2">
            <w:pPr>
              <w:rPr>
                <w:rStyle w:val="Hyperlink"/>
                <w:rFonts w:cstheme="minorHAnsi"/>
                <w:color w:val="auto"/>
                <w:sz w:val="20"/>
                <w:szCs w:val="20"/>
              </w:rPr>
            </w:pPr>
          </w:p>
        </w:tc>
      </w:tr>
      <w:tr w:rsidR="000F29C4" w:rsidTr="0033651A">
        <w:tc>
          <w:tcPr>
            <w:tcW w:w="2410" w:type="dxa"/>
          </w:tcPr>
          <w:p w:rsidR="000F29C4" w:rsidRPr="008240A4" w:rsidRDefault="000F29C4" w:rsidP="000F29C4">
            <w:pPr>
              <w:rPr>
                <w:b/>
                <w:sz w:val="20"/>
                <w:szCs w:val="20"/>
              </w:rPr>
            </w:pPr>
            <w:r w:rsidRPr="008240A4">
              <w:rPr>
                <w:b/>
                <w:sz w:val="20"/>
                <w:szCs w:val="20"/>
              </w:rPr>
              <w:t xml:space="preserve">State Schools’ Relief (SSR) </w:t>
            </w:r>
          </w:p>
          <w:p w:rsidR="000F29C4" w:rsidRPr="008240A4" w:rsidRDefault="000F29C4" w:rsidP="00C371C2">
            <w:pPr>
              <w:tabs>
                <w:tab w:val="left" w:pos="1140"/>
              </w:tabs>
              <w:contextualSpacing/>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rPr>
                <w:rFonts w:cstheme="minorHAnsi"/>
                <w:b/>
                <w:sz w:val="20"/>
                <w:szCs w:val="20"/>
              </w:rPr>
            </w:pPr>
          </w:p>
          <w:p w:rsidR="000F29C4" w:rsidRPr="008240A4" w:rsidRDefault="000F29C4" w:rsidP="000F29C4">
            <w:pPr>
              <w:jc w:val="center"/>
              <w:rPr>
                <w:rFonts w:cstheme="minorHAnsi"/>
                <w:b/>
                <w:sz w:val="20"/>
                <w:szCs w:val="20"/>
              </w:rPr>
            </w:pPr>
          </w:p>
        </w:tc>
        <w:tc>
          <w:tcPr>
            <w:tcW w:w="4395" w:type="dxa"/>
          </w:tcPr>
          <w:p w:rsidR="000F29C4" w:rsidRPr="008240A4" w:rsidRDefault="000F29C4" w:rsidP="000F29C4">
            <w:pPr>
              <w:rPr>
                <w:sz w:val="20"/>
                <w:szCs w:val="20"/>
              </w:rPr>
            </w:pPr>
            <w:r w:rsidRPr="008240A4">
              <w:rPr>
                <w:sz w:val="20"/>
                <w:szCs w:val="20"/>
              </w:rPr>
              <w:t>Available for children at public schools only. Accessed via the principal or wellbeing coordinator/chaplain only.  Includes: Uniforms, graphing calculators and steel capped work boots for senior students.</w:t>
            </w:r>
          </w:p>
          <w:p w:rsidR="000F29C4" w:rsidRPr="008240A4" w:rsidRDefault="000F29C4" w:rsidP="000F29C4">
            <w:pPr>
              <w:rPr>
                <w:sz w:val="20"/>
                <w:szCs w:val="20"/>
              </w:rPr>
            </w:pPr>
            <w:r w:rsidRPr="008240A4">
              <w:rPr>
                <w:sz w:val="20"/>
                <w:szCs w:val="20"/>
              </w:rPr>
              <w:t xml:space="preserve">The SSR program provides: uniforms, sports uniforms, socks, underwear and foot wear to children who are primary or secondary students attending public schools and whose families may be experiencing disadvantage and are unable to afford to pay for those items themselves. There is no criteria for this program and a concession card is not required. </w:t>
            </w:r>
          </w:p>
          <w:p w:rsidR="000F29C4" w:rsidRPr="008240A4" w:rsidRDefault="000F29C4" w:rsidP="00C371C2">
            <w:pPr>
              <w:pStyle w:val="NormalWeb"/>
              <w:shd w:val="clear" w:color="auto" w:fill="FFFFFF"/>
              <w:spacing w:before="192" w:beforeAutospacing="0" w:after="192" w:afterAutospacing="0"/>
              <w:rPr>
                <w:rFonts w:asciiTheme="minorHAnsi" w:hAnsiTheme="minorHAnsi" w:cstheme="minorHAnsi"/>
                <w:sz w:val="20"/>
                <w:szCs w:val="20"/>
              </w:rPr>
            </w:pPr>
          </w:p>
        </w:tc>
        <w:tc>
          <w:tcPr>
            <w:tcW w:w="3402" w:type="dxa"/>
          </w:tcPr>
          <w:p w:rsidR="000F29C4" w:rsidRPr="008240A4" w:rsidRDefault="000F29C4" w:rsidP="000F29C4">
            <w:pPr>
              <w:tabs>
                <w:tab w:val="left" w:pos="1140"/>
              </w:tabs>
              <w:contextualSpacing/>
              <w:rPr>
                <w:sz w:val="20"/>
                <w:szCs w:val="20"/>
              </w:rPr>
            </w:pPr>
          </w:p>
          <w:p w:rsidR="000F29C4" w:rsidRPr="008240A4" w:rsidRDefault="00CA22C7" w:rsidP="000F29C4">
            <w:pPr>
              <w:rPr>
                <w:sz w:val="20"/>
                <w:szCs w:val="20"/>
              </w:rPr>
            </w:pPr>
            <w:hyperlink r:id="rId28" w:history="1">
              <w:r w:rsidR="000F29C4" w:rsidRPr="008240A4">
                <w:rPr>
                  <w:rStyle w:val="Hyperlink"/>
                  <w:color w:val="auto"/>
                  <w:sz w:val="20"/>
                  <w:szCs w:val="20"/>
                </w:rPr>
                <w:t>www.ssr.net.au/schools</w:t>
              </w:r>
            </w:hyperlink>
          </w:p>
          <w:p w:rsidR="000F29C4" w:rsidRPr="008240A4" w:rsidRDefault="000F29C4" w:rsidP="00C371C2">
            <w:pPr>
              <w:tabs>
                <w:tab w:val="left" w:pos="1140"/>
              </w:tabs>
              <w:contextualSpacing/>
              <w:rPr>
                <w:rFonts w:cstheme="minorHAnsi"/>
                <w:sz w:val="20"/>
                <w:szCs w:val="20"/>
              </w:rPr>
            </w:pPr>
          </w:p>
        </w:tc>
      </w:tr>
      <w:tr w:rsidR="000F29C4" w:rsidTr="0033651A">
        <w:tc>
          <w:tcPr>
            <w:tcW w:w="2410" w:type="dxa"/>
          </w:tcPr>
          <w:p w:rsidR="000F29C4" w:rsidRPr="008240A4" w:rsidRDefault="000F29C4" w:rsidP="000F29C4">
            <w:pPr>
              <w:rPr>
                <w:rFonts w:cs="Arial"/>
                <w:b/>
                <w:sz w:val="20"/>
                <w:szCs w:val="20"/>
                <w:shd w:val="clear" w:color="auto" w:fill="FFFFFF"/>
              </w:rPr>
            </w:pPr>
            <w:r w:rsidRPr="008240A4">
              <w:rPr>
                <w:rFonts w:cs="Arial"/>
                <w:b/>
                <w:sz w:val="20"/>
                <w:szCs w:val="20"/>
                <w:shd w:val="clear" w:color="auto" w:fill="FFFFFF"/>
              </w:rPr>
              <w:t>St Kilda Mums</w:t>
            </w:r>
          </w:p>
          <w:p w:rsidR="000F29C4" w:rsidRPr="008240A4" w:rsidRDefault="000F29C4" w:rsidP="000F29C4">
            <w:pPr>
              <w:rPr>
                <w:b/>
                <w:sz w:val="20"/>
                <w:szCs w:val="20"/>
              </w:rPr>
            </w:pPr>
          </w:p>
        </w:tc>
        <w:tc>
          <w:tcPr>
            <w:tcW w:w="4395" w:type="dxa"/>
          </w:tcPr>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 xml:space="preserve">Receive requests from Maternal and Child Health Nurses and social workers on behalf of families in </w:t>
            </w:r>
            <w:r w:rsidRPr="008240A4">
              <w:rPr>
                <w:rFonts w:cs="Arial"/>
                <w:sz w:val="20"/>
                <w:szCs w:val="20"/>
                <w:shd w:val="clear" w:color="auto" w:fill="FFFFFF"/>
              </w:rPr>
              <w:lastRenderedPageBreak/>
              <w:t>need. We then try to meet or exceed each request by providing those families with quality pre-loved donations.</w:t>
            </w:r>
          </w:p>
          <w:p w:rsidR="000F29C4" w:rsidRPr="008240A4" w:rsidRDefault="000F29C4" w:rsidP="000F29C4">
            <w:pPr>
              <w:rPr>
                <w:sz w:val="20"/>
                <w:szCs w:val="20"/>
              </w:rPr>
            </w:pPr>
          </w:p>
        </w:tc>
        <w:tc>
          <w:tcPr>
            <w:tcW w:w="3402" w:type="dxa"/>
          </w:tcPr>
          <w:p w:rsidR="000F29C4" w:rsidRPr="008240A4" w:rsidRDefault="00CA22C7" w:rsidP="000F29C4">
            <w:pPr>
              <w:rPr>
                <w:rFonts w:cs="Arial"/>
                <w:sz w:val="20"/>
                <w:szCs w:val="20"/>
                <w:shd w:val="clear" w:color="auto" w:fill="FFFFFF"/>
              </w:rPr>
            </w:pPr>
            <w:hyperlink r:id="rId29" w:history="1">
              <w:r w:rsidR="000F29C4" w:rsidRPr="008240A4">
                <w:rPr>
                  <w:rStyle w:val="Hyperlink"/>
                  <w:rFonts w:cs="Arial"/>
                  <w:color w:val="auto"/>
                  <w:sz w:val="20"/>
                  <w:szCs w:val="20"/>
                  <w:shd w:val="clear" w:color="auto" w:fill="FFFFFF"/>
                </w:rPr>
                <w:t>https://www.stkildamums.org/</w:t>
              </w:r>
            </w:hyperlink>
          </w:p>
          <w:p w:rsidR="000F29C4" w:rsidRPr="008240A4" w:rsidRDefault="000F29C4" w:rsidP="000F29C4">
            <w:pPr>
              <w:tabs>
                <w:tab w:val="left" w:pos="1140"/>
              </w:tabs>
              <w:contextualSpacing/>
              <w:rPr>
                <w:sz w:val="20"/>
                <w:szCs w:val="20"/>
              </w:rPr>
            </w:pPr>
          </w:p>
        </w:tc>
      </w:tr>
      <w:tr w:rsidR="000F29C4" w:rsidTr="0033651A">
        <w:tc>
          <w:tcPr>
            <w:tcW w:w="2410" w:type="dxa"/>
          </w:tcPr>
          <w:p w:rsidR="000F29C4" w:rsidRPr="008240A4" w:rsidRDefault="000F29C4" w:rsidP="000F29C4">
            <w:pPr>
              <w:rPr>
                <w:rFonts w:cs="Arial"/>
                <w:b/>
                <w:sz w:val="20"/>
                <w:szCs w:val="20"/>
                <w:shd w:val="clear" w:color="auto" w:fill="FFFFFF"/>
              </w:rPr>
            </w:pPr>
            <w:r w:rsidRPr="008240A4">
              <w:rPr>
                <w:rFonts w:cs="Arial"/>
                <w:b/>
                <w:sz w:val="20"/>
                <w:szCs w:val="20"/>
                <w:shd w:val="clear" w:color="auto" w:fill="FFFFFF"/>
              </w:rPr>
              <w:t>St Vincent de Paul Society</w:t>
            </w:r>
          </w:p>
          <w:p w:rsidR="000F29C4" w:rsidRPr="008240A4" w:rsidRDefault="000F29C4" w:rsidP="000F29C4">
            <w:pPr>
              <w:rPr>
                <w:rFonts w:cs="Arial"/>
                <w:b/>
                <w:sz w:val="20"/>
                <w:szCs w:val="20"/>
                <w:shd w:val="clear" w:color="auto" w:fill="FFFFFF"/>
              </w:rPr>
            </w:pPr>
          </w:p>
        </w:tc>
        <w:tc>
          <w:tcPr>
            <w:tcW w:w="4395" w:type="dxa"/>
          </w:tcPr>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St Vincent de Paul may be able to help in two areas:</w:t>
            </w:r>
          </w:p>
          <w:p w:rsidR="000F29C4" w:rsidRPr="008240A4" w:rsidRDefault="000F29C4" w:rsidP="000F29C4">
            <w:pPr>
              <w:pStyle w:val="ListParagraph"/>
              <w:numPr>
                <w:ilvl w:val="0"/>
                <w:numId w:val="25"/>
              </w:numPr>
              <w:rPr>
                <w:rFonts w:cs="Arial"/>
                <w:sz w:val="20"/>
                <w:szCs w:val="20"/>
                <w:shd w:val="clear" w:color="auto" w:fill="FFFFFF"/>
              </w:rPr>
            </w:pPr>
            <w:r w:rsidRPr="008240A4">
              <w:rPr>
                <w:rFonts w:cs="Arial"/>
                <w:sz w:val="20"/>
                <w:szCs w:val="20"/>
                <w:shd w:val="clear" w:color="auto" w:fill="FFFFFF"/>
              </w:rPr>
              <w:t xml:space="preserve">The St Vincent de Paul Society also offers people assistance through home visits. This support may include providing food or food vouchers, clothing, furniture, budget support, assistance with utility bills or back to school costs, information and advocacy.  </w:t>
            </w:r>
          </w:p>
          <w:p w:rsidR="000F29C4" w:rsidRPr="008240A4" w:rsidRDefault="000F29C4" w:rsidP="000F29C4">
            <w:pPr>
              <w:pStyle w:val="ListParagraph"/>
              <w:numPr>
                <w:ilvl w:val="0"/>
                <w:numId w:val="25"/>
              </w:numPr>
              <w:rPr>
                <w:rFonts w:cs="Arial"/>
                <w:sz w:val="20"/>
                <w:szCs w:val="20"/>
                <w:shd w:val="clear" w:color="auto" w:fill="FFFFFF"/>
              </w:rPr>
            </w:pPr>
            <w:r w:rsidRPr="008240A4">
              <w:rPr>
                <w:rFonts w:cs="Arial"/>
                <w:sz w:val="20"/>
                <w:szCs w:val="20"/>
                <w:shd w:val="clear" w:color="auto" w:fill="FFFFFF"/>
              </w:rPr>
              <w:t>Material assistance through its network of Vinnies Centres. Vinnies Centres are able to provide (depending upon supply) a variety of goods including furniture, clothing and household goods to families and people who are in need.</w:t>
            </w:r>
          </w:p>
          <w:p w:rsidR="000F29C4" w:rsidRPr="008240A4" w:rsidRDefault="000F29C4" w:rsidP="000F29C4">
            <w:pPr>
              <w:rPr>
                <w:rFonts w:cs="Arial"/>
                <w:sz w:val="20"/>
                <w:szCs w:val="20"/>
                <w:shd w:val="clear" w:color="auto" w:fill="FFFFFF"/>
              </w:rPr>
            </w:pPr>
          </w:p>
        </w:tc>
        <w:tc>
          <w:tcPr>
            <w:tcW w:w="3402" w:type="dxa"/>
          </w:tcPr>
          <w:p w:rsidR="000F29C4" w:rsidRPr="008240A4" w:rsidRDefault="00CA22C7" w:rsidP="000F29C4">
            <w:pPr>
              <w:tabs>
                <w:tab w:val="left" w:pos="1140"/>
              </w:tabs>
              <w:contextualSpacing/>
              <w:rPr>
                <w:sz w:val="20"/>
                <w:szCs w:val="20"/>
              </w:rPr>
            </w:pPr>
            <w:hyperlink r:id="rId30" w:history="1">
              <w:r w:rsidR="000F29C4" w:rsidRPr="008240A4">
                <w:rPr>
                  <w:rStyle w:val="Hyperlink"/>
                  <w:rFonts w:cs="Arial"/>
                  <w:color w:val="auto"/>
                  <w:sz w:val="20"/>
                  <w:szCs w:val="20"/>
                  <w:shd w:val="clear" w:color="auto" w:fill="FFFFFF"/>
                </w:rPr>
                <w:t>www.vinnies.org.au</w:t>
              </w:r>
            </w:hyperlink>
            <w:r w:rsidR="000F29C4" w:rsidRPr="008240A4">
              <w:rPr>
                <w:rStyle w:val="Hyperlink"/>
                <w:rFonts w:cs="Arial"/>
                <w:color w:val="auto"/>
                <w:sz w:val="20"/>
                <w:szCs w:val="20"/>
                <w:shd w:val="clear" w:color="auto" w:fill="FFFFFF"/>
              </w:rPr>
              <w:t xml:space="preserve"> </w:t>
            </w:r>
          </w:p>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(search ‘Find Help’)</w:t>
            </w:r>
          </w:p>
          <w:p w:rsidR="000F29C4" w:rsidRPr="008240A4" w:rsidRDefault="000F29C4" w:rsidP="000F29C4">
            <w:pPr>
              <w:rPr>
                <w:rStyle w:val="Hyperlink"/>
                <w:rFonts w:cs="Arial"/>
                <w:color w:val="auto"/>
                <w:sz w:val="20"/>
                <w:szCs w:val="20"/>
                <w:shd w:val="clear" w:color="auto" w:fill="FFFFFF"/>
              </w:rPr>
            </w:pPr>
          </w:p>
        </w:tc>
      </w:tr>
      <w:tr w:rsidR="000F29C4" w:rsidTr="0033651A">
        <w:tc>
          <w:tcPr>
            <w:tcW w:w="2410" w:type="dxa"/>
          </w:tcPr>
          <w:p w:rsidR="000F29C4" w:rsidRPr="008240A4" w:rsidRDefault="000F29C4" w:rsidP="000F29C4">
            <w:pPr>
              <w:rPr>
                <w:b/>
                <w:sz w:val="20"/>
                <w:szCs w:val="20"/>
              </w:rPr>
            </w:pPr>
            <w:r w:rsidRPr="008240A4">
              <w:rPr>
                <w:rFonts w:cs="Arial"/>
                <w:b/>
                <w:sz w:val="20"/>
                <w:szCs w:val="20"/>
                <w:shd w:val="clear" w:color="auto" w:fill="FFFFFF"/>
              </w:rPr>
              <w:t>The Smith Family – Learning for Life Program</w:t>
            </w:r>
          </w:p>
        </w:tc>
        <w:tc>
          <w:tcPr>
            <w:tcW w:w="4395" w:type="dxa"/>
          </w:tcPr>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The Smith Family offers a Learning for Life program to students facing disadvantage. To be eligible, your child would need to attend a school in which The Smith Family works and you would need to contact your school’s principal who may be able to refer you. There are very limited scholarships available.</w:t>
            </w:r>
          </w:p>
          <w:p w:rsidR="000F29C4" w:rsidRPr="008240A4" w:rsidRDefault="000F29C4" w:rsidP="000F29C4">
            <w:pPr>
              <w:rPr>
                <w:sz w:val="20"/>
                <w:szCs w:val="20"/>
              </w:rPr>
            </w:pPr>
          </w:p>
        </w:tc>
        <w:tc>
          <w:tcPr>
            <w:tcW w:w="3402" w:type="dxa"/>
          </w:tcPr>
          <w:p w:rsidR="000F29C4" w:rsidRPr="008240A4" w:rsidRDefault="00CA22C7" w:rsidP="000F29C4">
            <w:pPr>
              <w:rPr>
                <w:rFonts w:cs="Arial"/>
                <w:sz w:val="20"/>
                <w:szCs w:val="20"/>
                <w:shd w:val="clear" w:color="auto" w:fill="FFFFFF"/>
              </w:rPr>
            </w:pPr>
            <w:hyperlink r:id="rId31" w:history="1">
              <w:r w:rsidR="000F29C4" w:rsidRPr="008240A4">
                <w:rPr>
                  <w:rStyle w:val="Hyperlink"/>
                  <w:rFonts w:cs="Arial"/>
                  <w:color w:val="auto"/>
                  <w:sz w:val="20"/>
                  <w:szCs w:val="20"/>
                  <w:shd w:val="clear" w:color="auto" w:fill="FFFFFF"/>
                </w:rPr>
                <w:t>www.thesmithfamily.com.au</w:t>
              </w:r>
            </w:hyperlink>
          </w:p>
          <w:p w:rsidR="000F29C4" w:rsidRPr="008240A4" w:rsidRDefault="000F29C4" w:rsidP="000F29C4">
            <w:pPr>
              <w:tabs>
                <w:tab w:val="left" w:pos="1140"/>
              </w:tabs>
              <w:contextualSpacing/>
              <w:rPr>
                <w:sz w:val="20"/>
                <w:szCs w:val="20"/>
              </w:rPr>
            </w:pPr>
          </w:p>
        </w:tc>
      </w:tr>
      <w:tr w:rsidR="000F29C4" w:rsidTr="0033651A">
        <w:tc>
          <w:tcPr>
            <w:tcW w:w="2410" w:type="dxa"/>
          </w:tcPr>
          <w:p w:rsidR="000F29C4" w:rsidRPr="008240A4" w:rsidRDefault="000F29C4" w:rsidP="000F29C4">
            <w:pPr>
              <w:rPr>
                <w:rFonts w:cs="Arial"/>
                <w:b/>
                <w:sz w:val="20"/>
                <w:szCs w:val="20"/>
                <w:shd w:val="clear" w:color="auto" w:fill="FFFFFF"/>
              </w:rPr>
            </w:pPr>
            <w:r w:rsidRPr="008240A4">
              <w:rPr>
                <w:rFonts w:cs="Arial"/>
                <w:b/>
                <w:sz w:val="20"/>
                <w:szCs w:val="20"/>
                <w:shd w:val="clear" w:color="auto" w:fill="FFFFFF"/>
              </w:rPr>
              <w:t>The Queens Fund</w:t>
            </w:r>
          </w:p>
          <w:p w:rsidR="000F29C4" w:rsidRPr="008240A4" w:rsidRDefault="000F29C4" w:rsidP="000F29C4">
            <w:pPr>
              <w:rPr>
                <w:b/>
                <w:sz w:val="20"/>
                <w:szCs w:val="20"/>
              </w:rPr>
            </w:pPr>
          </w:p>
        </w:tc>
        <w:tc>
          <w:tcPr>
            <w:tcW w:w="4395" w:type="dxa"/>
          </w:tcPr>
          <w:p w:rsidR="000F29C4" w:rsidRPr="008240A4" w:rsidRDefault="000F29C4" w:rsidP="000F29C4">
            <w:pPr>
              <w:rPr>
                <w:rFonts w:cs="Arial"/>
                <w:sz w:val="20"/>
                <w:szCs w:val="20"/>
                <w:shd w:val="clear" w:color="auto" w:fill="FFFFFF"/>
              </w:rPr>
            </w:pPr>
            <w:r w:rsidRPr="008240A4">
              <w:rPr>
                <w:rFonts w:cs="Arial"/>
                <w:sz w:val="20"/>
                <w:szCs w:val="20"/>
                <w:shd w:val="clear" w:color="auto" w:fill="FFFFFF"/>
              </w:rPr>
              <w:t>The Queen’s Fund provides financial assistance to single, Victorian women and their children who are in crisis, distress or emergency situations. Appliances/electronics and storage.  $325 maximum limit.</w:t>
            </w:r>
          </w:p>
          <w:p w:rsidR="000F29C4" w:rsidRPr="008240A4" w:rsidRDefault="000F29C4" w:rsidP="000F29C4">
            <w:pPr>
              <w:rPr>
                <w:sz w:val="20"/>
                <w:szCs w:val="20"/>
              </w:rPr>
            </w:pPr>
          </w:p>
        </w:tc>
        <w:tc>
          <w:tcPr>
            <w:tcW w:w="3402" w:type="dxa"/>
          </w:tcPr>
          <w:p w:rsidR="000F29C4" w:rsidRPr="008240A4" w:rsidRDefault="00CA22C7" w:rsidP="000F29C4">
            <w:pPr>
              <w:rPr>
                <w:rFonts w:cs="Arial"/>
                <w:sz w:val="20"/>
                <w:szCs w:val="20"/>
                <w:shd w:val="clear" w:color="auto" w:fill="FFFFFF"/>
              </w:rPr>
            </w:pPr>
            <w:hyperlink r:id="rId32" w:history="1">
              <w:r w:rsidR="000F29C4" w:rsidRPr="008240A4">
                <w:rPr>
                  <w:rStyle w:val="Hyperlink"/>
                  <w:rFonts w:cs="Arial"/>
                  <w:color w:val="auto"/>
                  <w:sz w:val="20"/>
                  <w:szCs w:val="20"/>
                  <w:shd w:val="clear" w:color="auto" w:fill="FFFFFF"/>
                </w:rPr>
                <w:t>https://www.queensfund.org.au/howtoapply</w:t>
              </w:r>
            </w:hyperlink>
          </w:p>
          <w:p w:rsidR="000F29C4" w:rsidRPr="008240A4" w:rsidRDefault="000F29C4" w:rsidP="000F29C4">
            <w:pPr>
              <w:tabs>
                <w:tab w:val="left" w:pos="1140"/>
              </w:tabs>
              <w:contextualSpacing/>
              <w:rPr>
                <w:sz w:val="20"/>
                <w:szCs w:val="20"/>
              </w:rPr>
            </w:pPr>
          </w:p>
        </w:tc>
      </w:tr>
      <w:tr w:rsidR="000F29C4" w:rsidTr="0033651A">
        <w:tc>
          <w:tcPr>
            <w:tcW w:w="2410" w:type="dxa"/>
          </w:tcPr>
          <w:p w:rsidR="00F707A4" w:rsidRPr="008240A4" w:rsidRDefault="00F707A4" w:rsidP="00F707A4">
            <w:pPr>
              <w:tabs>
                <w:tab w:val="left" w:pos="1140"/>
              </w:tabs>
              <w:contextualSpacing/>
              <w:rPr>
                <w:b/>
                <w:sz w:val="20"/>
                <w:szCs w:val="20"/>
              </w:rPr>
            </w:pPr>
            <w:r w:rsidRPr="008240A4">
              <w:rPr>
                <w:b/>
                <w:sz w:val="20"/>
                <w:szCs w:val="20"/>
              </w:rPr>
              <w:t>VOCAT</w:t>
            </w:r>
          </w:p>
          <w:p w:rsidR="000F29C4" w:rsidRPr="008240A4" w:rsidRDefault="000F29C4" w:rsidP="000F29C4">
            <w:pPr>
              <w:rPr>
                <w:rFonts w:cs="Arial"/>
                <w:b/>
                <w:sz w:val="20"/>
                <w:szCs w:val="20"/>
                <w:shd w:val="clear" w:color="auto" w:fill="FFFFFF"/>
              </w:rPr>
            </w:pPr>
          </w:p>
        </w:tc>
        <w:tc>
          <w:tcPr>
            <w:tcW w:w="4395" w:type="dxa"/>
          </w:tcPr>
          <w:p w:rsidR="00F707A4" w:rsidRPr="008240A4" w:rsidRDefault="00F707A4" w:rsidP="00F707A4">
            <w:pPr>
              <w:tabs>
                <w:tab w:val="left" w:pos="1140"/>
              </w:tabs>
              <w:contextualSpacing/>
              <w:rPr>
                <w:sz w:val="20"/>
                <w:szCs w:val="20"/>
              </w:rPr>
            </w:pPr>
            <w:r w:rsidRPr="008240A4">
              <w:rPr>
                <w:sz w:val="20"/>
                <w:szCs w:val="20"/>
              </w:rPr>
              <w:t>A person may apply for financial assistance if:</w:t>
            </w:r>
          </w:p>
          <w:p w:rsidR="00F707A4" w:rsidRPr="008240A4" w:rsidRDefault="00F707A4" w:rsidP="00F707A4">
            <w:pPr>
              <w:pStyle w:val="ListParagraph"/>
              <w:numPr>
                <w:ilvl w:val="0"/>
                <w:numId w:val="26"/>
              </w:numPr>
              <w:tabs>
                <w:tab w:val="left" w:pos="1140"/>
              </w:tabs>
              <w:rPr>
                <w:sz w:val="20"/>
                <w:szCs w:val="20"/>
              </w:rPr>
            </w:pPr>
            <w:r w:rsidRPr="008240A4">
              <w:rPr>
                <w:sz w:val="20"/>
                <w:szCs w:val="20"/>
              </w:rPr>
              <w:t>a violent crime was committed against them and they have suffered an injury</w:t>
            </w:r>
          </w:p>
          <w:p w:rsidR="00F707A4" w:rsidRPr="008240A4" w:rsidRDefault="00F707A4" w:rsidP="00F707A4">
            <w:pPr>
              <w:pStyle w:val="ListParagraph"/>
              <w:numPr>
                <w:ilvl w:val="0"/>
                <w:numId w:val="26"/>
              </w:numPr>
              <w:tabs>
                <w:tab w:val="left" w:pos="1140"/>
              </w:tabs>
              <w:rPr>
                <w:sz w:val="20"/>
                <w:szCs w:val="20"/>
              </w:rPr>
            </w:pPr>
            <w:r w:rsidRPr="008240A4">
              <w:rPr>
                <w:sz w:val="20"/>
                <w:szCs w:val="20"/>
              </w:rPr>
              <w:t>the crime occurred in Victoria</w:t>
            </w:r>
          </w:p>
          <w:p w:rsidR="00F707A4" w:rsidRPr="008240A4" w:rsidRDefault="00F707A4" w:rsidP="00F707A4">
            <w:pPr>
              <w:pStyle w:val="ListParagraph"/>
              <w:numPr>
                <w:ilvl w:val="0"/>
                <w:numId w:val="26"/>
              </w:numPr>
              <w:tabs>
                <w:tab w:val="left" w:pos="1140"/>
              </w:tabs>
              <w:rPr>
                <w:sz w:val="20"/>
                <w:szCs w:val="20"/>
              </w:rPr>
            </w:pPr>
            <w:r w:rsidRPr="008240A4">
              <w:rPr>
                <w:sz w:val="20"/>
                <w:szCs w:val="20"/>
              </w:rPr>
              <w:t>they are a primary, secondary or related victim of that violent crime as defined by the Victims of Crime Assistance Act 1996, or a person who has incurred funeral expenses as a direct result of the death of a primary victim.</w:t>
            </w:r>
          </w:p>
          <w:p w:rsidR="000F29C4" w:rsidRPr="008240A4" w:rsidRDefault="000F29C4" w:rsidP="000F29C4">
            <w:pPr>
              <w:rPr>
                <w:rFonts w:cs="Arial"/>
                <w:sz w:val="20"/>
                <w:szCs w:val="20"/>
                <w:shd w:val="clear" w:color="auto" w:fill="FFFFFF"/>
              </w:rPr>
            </w:pPr>
          </w:p>
        </w:tc>
        <w:tc>
          <w:tcPr>
            <w:tcW w:w="3402" w:type="dxa"/>
          </w:tcPr>
          <w:p w:rsidR="00F707A4" w:rsidRPr="008240A4" w:rsidRDefault="00CA22C7" w:rsidP="00F707A4">
            <w:pPr>
              <w:tabs>
                <w:tab w:val="left" w:pos="1140"/>
              </w:tabs>
              <w:contextualSpacing/>
              <w:rPr>
                <w:sz w:val="20"/>
                <w:szCs w:val="20"/>
              </w:rPr>
            </w:pPr>
            <w:hyperlink r:id="rId33" w:history="1">
              <w:r w:rsidR="00F707A4" w:rsidRPr="008240A4">
                <w:rPr>
                  <w:rStyle w:val="Hyperlink"/>
                  <w:color w:val="auto"/>
                  <w:sz w:val="20"/>
                  <w:szCs w:val="20"/>
                </w:rPr>
                <w:t>https://www.vocat.vic.gov.au/</w:t>
              </w:r>
            </w:hyperlink>
          </w:p>
          <w:p w:rsidR="000F29C4" w:rsidRPr="008240A4" w:rsidRDefault="000F29C4" w:rsidP="000F29C4">
            <w:pPr>
              <w:rPr>
                <w:rStyle w:val="Hyperlink"/>
                <w:rFonts w:cs="Arial"/>
                <w:color w:val="auto"/>
                <w:sz w:val="20"/>
                <w:szCs w:val="20"/>
                <w:shd w:val="clear" w:color="auto" w:fill="FFFFFF"/>
              </w:rPr>
            </w:pPr>
          </w:p>
        </w:tc>
      </w:tr>
    </w:tbl>
    <w:p w:rsidR="00C371C2" w:rsidRDefault="00C371C2" w:rsidP="00441EED">
      <w:pPr>
        <w:rPr>
          <w:i/>
          <w:sz w:val="20"/>
          <w:szCs w:val="20"/>
        </w:rPr>
      </w:pPr>
    </w:p>
    <w:p w:rsidR="00C371C2" w:rsidRDefault="00C371C2" w:rsidP="00441EED">
      <w:pPr>
        <w:rPr>
          <w:rFonts w:cstheme="minorHAnsi"/>
          <w:b/>
          <w:sz w:val="20"/>
          <w:szCs w:val="20"/>
        </w:rPr>
      </w:pPr>
    </w:p>
    <w:p w:rsidR="00441EED" w:rsidRDefault="00441EED" w:rsidP="00441EED">
      <w:pPr>
        <w:rPr>
          <w:i/>
          <w:sz w:val="20"/>
          <w:szCs w:val="20"/>
        </w:rPr>
      </w:pPr>
    </w:p>
    <w:p w:rsidR="00441EED" w:rsidRPr="003D2553" w:rsidRDefault="00441EED" w:rsidP="00441EED">
      <w:pPr>
        <w:rPr>
          <w:i/>
          <w:sz w:val="20"/>
          <w:szCs w:val="20"/>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3D2553" w:rsidRPr="006D2C52" w:rsidRDefault="003D2553" w:rsidP="003D2553">
      <w:pPr>
        <w:spacing w:after="0" w:line="240" w:lineRule="auto"/>
        <w:rPr>
          <w:rFonts w:cs="Arial"/>
          <w:shd w:val="clear" w:color="auto" w:fill="FFFFFF"/>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p w:rsidR="00C80D3F" w:rsidRPr="00C80D3F" w:rsidRDefault="00C80D3F" w:rsidP="00C80D3F">
      <w:pPr>
        <w:tabs>
          <w:tab w:val="left" w:pos="1140"/>
        </w:tabs>
        <w:spacing w:after="0" w:line="240" w:lineRule="auto"/>
        <w:contextualSpacing/>
        <w:rPr>
          <w:sz w:val="18"/>
          <w:szCs w:val="18"/>
        </w:rPr>
      </w:pPr>
    </w:p>
    <w:sectPr w:rsidR="00C80D3F" w:rsidRPr="00C80D3F" w:rsidSect="002B1F21">
      <w:footerReference w:type="default" r:id="rId3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A9" w:rsidRDefault="008E51A9" w:rsidP="008E3E6C">
      <w:pPr>
        <w:spacing w:after="0" w:line="240" w:lineRule="auto"/>
      </w:pPr>
      <w:r>
        <w:separator/>
      </w:r>
    </w:p>
  </w:endnote>
  <w:endnote w:type="continuationSeparator" w:id="0">
    <w:p w:rsidR="008E51A9" w:rsidRDefault="008E51A9" w:rsidP="008E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0049087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8E3E6C" w:rsidRPr="00504875" w:rsidRDefault="00810887" w:rsidP="002E4716">
            <w:pPr>
              <w:pStyle w:val="Footer"/>
              <w:ind w:firstLine="3600"/>
              <w:rPr>
                <w:sz w:val="20"/>
                <w:szCs w:val="20"/>
              </w:rPr>
            </w:pPr>
            <w:r w:rsidRPr="00810887">
              <w:rPr>
                <w:sz w:val="20"/>
                <w:szCs w:val="20"/>
              </w:rPr>
              <w:t xml:space="preserve">Page </w:t>
            </w:r>
            <w:r w:rsidRPr="00810887">
              <w:rPr>
                <w:bCs/>
                <w:sz w:val="20"/>
                <w:szCs w:val="20"/>
              </w:rPr>
              <w:fldChar w:fldCharType="begin"/>
            </w:r>
            <w:r w:rsidRPr="00810887">
              <w:rPr>
                <w:bCs/>
                <w:sz w:val="20"/>
                <w:szCs w:val="20"/>
              </w:rPr>
              <w:instrText xml:space="preserve"> PAGE </w:instrText>
            </w:r>
            <w:r w:rsidRPr="00810887">
              <w:rPr>
                <w:bCs/>
                <w:sz w:val="20"/>
                <w:szCs w:val="20"/>
              </w:rPr>
              <w:fldChar w:fldCharType="separate"/>
            </w:r>
            <w:r w:rsidR="00CA22C7">
              <w:rPr>
                <w:bCs/>
                <w:noProof/>
                <w:sz w:val="20"/>
                <w:szCs w:val="20"/>
              </w:rPr>
              <w:t>2</w:t>
            </w:r>
            <w:r w:rsidRPr="00810887">
              <w:rPr>
                <w:bCs/>
                <w:sz w:val="20"/>
                <w:szCs w:val="20"/>
              </w:rPr>
              <w:fldChar w:fldCharType="end"/>
            </w:r>
            <w:r w:rsidRPr="00810887">
              <w:rPr>
                <w:sz w:val="20"/>
                <w:szCs w:val="20"/>
              </w:rPr>
              <w:t xml:space="preserve"> of </w:t>
            </w:r>
            <w:r w:rsidRPr="00810887">
              <w:rPr>
                <w:bCs/>
                <w:sz w:val="20"/>
                <w:szCs w:val="20"/>
              </w:rPr>
              <w:fldChar w:fldCharType="begin"/>
            </w:r>
            <w:r w:rsidRPr="00810887">
              <w:rPr>
                <w:bCs/>
                <w:sz w:val="20"/>
                <w:szCs w:val="20"/>
              </w:rPr>
              <w:instrText xml:space="preserve"> NUMPAGES  </w:instrText>
            </w:r>
            <w:r w:rsidRPr="00810887">
              <w:rPr>
                <w:bCs/>
                <w:sz w:val="20"/>
                <w:szCs w:val="20"/>
              </w:rPr>
              <w:fldChar w:fldCharType="separate"/>
            </w:r>
            <w:r w:rsidR="00CA22C7">
              <w:rPr>
                <w:bCs/>
                <w:noProof/>
                <w:sz w:val="20"/>
                <w:szCs w:val="20"/>
              </w:rPr>
              <w:t>11</w:t>
            </w:r>
            <w:r w:rsidRPr="00810887">
              <w:rPr>
                <w:bCs/>
                <w:sz w:val="20"/>
                <w:szCs w:val="20"/>
              </w:rPr>
              <w:fldChar w:fldCharType="end"/>
            </w:r>
            <w:r w:rsidR="002E4716">
              <w:rPr>
                <w:bCs/>
                <w:sz w:val="20"/>
                <w:szCs w:val="20"/>
              </w:rPr>
              <w:tab/>
            </w:r>
            <w:r w:rsidR="003F16F5">
              <w:rPr>
                <w:bCs/>
                <w:sz w:val="20"/>
                <w:szCs w:val="20"/>
              </w:rPr>
              <w:tab/>
            </w:r>
            <w:r w:rsidR="0033651A">
              <w:rPr>
                <w:bCs/>
                <w:sz w:val="20"/>
                <w:szCs w:val="20"/>
              </w:rPr>
              <w:t>Feb 2022</w:t>
            </w:r>
          </w:p>
        </w:sdtContent>
      </w:sdt>
    </w:sdtContent>
  </w:sdt>
  <w:p w:rsidR="00DB4071" w:rsidRDefault="00DB4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A9" w:rsidRDefault="008E51A9" w:rsidP="008E3E6C">
      <w:pPr>
        <w:spacing w:after="0" w:line="240" w:lineRule="auto"/>
      </w:pPr>
      <w:r>
        <w:separator/>
      </w:r>
    </w:p>
  </w:footnote>
  <w:footnote w:type="continuationSeparator" w:id="0">
    <w:p w:rsidR="008E51A9" w:rsidRDefault="008E51A9" w:rsidP="008E3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D22"/>
    <w:multiLevelType w:val="hybridMultilevel"/>
    <w:tmpl w:val="0504B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D0844"/>
    <w:multiLevelType w:val="hybridMultilevel"/>
    <w:tmpl w:val="99A6DA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705ED"/>
    <w:multiLevelType w:val="hybridMultilevel"/>
    <w:tmpl w:val="1002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646C9"/>
    <w:multiLevelType w:val="hybridMultilevel"/>
    <w:tmpl w:val="E8465976"/>
    <w:lvl w:ilvl="0" w:tplc="F5E4B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9079F"/>
    <w:multiLevelType w:val="hybridMultilevel"/>
    <w:tmpl w:val="0D6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E1DDD"/>
    <w:multiLevelType w:val="hybridMultilevel"/>
    <w:tmpl w:val="AC78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73E7A"/>
    <w:multiLevelType w:val="multilevel"/>
    <w:tmpl w:val="2C02A6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340B8"/>
    <w:multiLevelType w:val="hybridMultilevel"/>
    <w:tmpl w:val="2C9E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B382C"/>
    <w:multiLevelType w:val="hybridMultilevel"/>
    <w:tmpl w:val="7764DC7C"/>
    <w:lvl w:ilvl="0" w:tplc="3F40DCE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D8469D"/>
    <w:multiLevelType w:val="hybridMultilevel"/>
    <w:tmpl w:val="925C5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736DC"/>
    <w:multiLevelType w:val="hybridMultilevel"/>
    <w:tmpl w:val="A0C8BAC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67754"/>
    <w:multiLevelType w:val="hybridMultilevel"/>
    <w:tmpl w:val="7C96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4D081F"/>
    <w:multiLevelType w:val="multilevel"/>
    <w:tmpl w:val="565E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028E9"/>
    <w:multiLevelType w:val="hybridMultilevel"/>
    <w:tmpl w:val="6D04C4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625F94"/>
    <w:multiLevelType w:val="hybridMultilevel"/>
    <w:tmpl w:val="D660B5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A93179"/>
    <w:multiLevelType w:val="hybridMultilevel"/>
    <w:tmpl w:val="D8AAAB5C"/>
    <w:lvl w:ilvl="0" w:tplc="E4BA3C7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03FC8"/>
    <w:multiLevelType w:val="hybridMultilevel"/>
    <w:tmpl w:val="64FA25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1F2756D"/>
    <w:multiLevelType w:val="hybridMultilevel"/>
    <w:tmpl w:val="4FFE5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7E6F0D"/>
    <w:multiLevelType w:val="hybridMultilevel"/>
    <w:tmpl w:val="D70EABCC"/>
    <w:lvl w:ilvl="0" w:tplc="0C09000F">
      <w:start w:val="1"/>
      <w:numFmt w:val="decimal"/>
      <w:lvlText w:val="%1."/>
      <w:lvlJc w:val="left"/>
      <w:pPr>
        <w:ind w:left="360" w:hanging="360"/>
      </w:pPr>
      <w:rPr>
        <w:rFonts w:hint="default"/>
      </w:rPr>
    </w:lvl>
    <w:lvl w:ilvl="1" w:tplc="0C090019">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20" w15:restartNumberingAfterBreak="0">
    <w:nsid w:val="5494713E"/>
    <w:multiLevelType w:val="hybridMultilevel"/>
    <w:tmpl w:val="62CCAF4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7F63CB6"/>
    <w:multiLevelType w:val="hybridMultilevel"/>
    <w:tmpl w:val="9328C8C0"/>
    <w:lvl w:ilvl="0" w:tplc="48A411FC">
      <w:start w:val="38"/>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041C"/>
    <w:multiLevelType w:val="multilevel"/>
    <w:tmpl w:val="8116CFD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A2C1D6E"/>
    <w:multiLevelType w:val="hybridMultilevel"/>
    <w:tmpl w:val="33B87C4C"/>
    <w:lvl w:ilvl="0" w:tplc="48A411FC">
      <w:start w:val="38"/>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D848B5"/>
    <w:multiLevelType w:val="multilevel"/>
    <w:tmpl w:val="1BC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A1DDB"/>
    <w:multiLevelType w:val="hybridMultilevel"/>
    <w:tmpl w:val="E3524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1507260"/>
    <w:multiLevelType w:val="hybridMultilevel"/>
    <w:tmpl w:val="358A737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63266E"/>
    <w:multiLevelType w:val="hybridMultilevel"/>
    <w:tmpl w:val="F64C53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686631"/>
    <w:multiLevelType w:val="hybridMultilevel"/>
    <w:tmpl w:val="717E783C"/>
    <w:lvl w:ilvl="0" w:tplc="0C09000F">
      <w:start w:val="1"/>
      <w:numFmt w:val="decimal"/>
      <w:lvlText w:val="%1."/>
      <w:lvlJc w:val="left"/>
      <w:pPr>
        <w:ind w:left="3054" w:hanging="360"/>
      </w:pPr>
    </w:lvl>
    <w:lvl w:ilvl="1" w:tplc="0C090003">
      <w:start w:val="1"/>
      <w:numFmt w:val="bullet"/>
      <w:lvlText w:val="o"/>
      <w:lvlJc w:val="left"/>
      <w:pPr>
        <w:ind w:left="3774" w:hanging="360"/>
      </w:pPr>
      <w:rPr>
        <w:rFonts w:ascii="Courier New" w:hAnsi="Courier New" w:cs="Courier New" w:hint="default"/>
      </w:rPr>
    </w:lvl>
    <w:lvl w:ilvl="2" w:tplc="0C090005">
      <w:start w:val="1"/>
      <w:numFmt w:val="bullet"/>
      <w:lvlText w:val=""/>
      <w:lvlJc w:val="left"/>
      <w:pPr>
        <w:ind w:left="4494" w:hanging="360"/>
      </w:pPr>
      <w:rPr>
        <w:rFonts w:ascii="Wingdings" w:hAnsi="Wingdings" w:hint="default"/>
      </w:rPr>
    </w:lvl>
    <w:lvl w:ilvl="3" w:tplc="0C090001">
      <w:start w:val="1"/>
      <w:numFmt w:val="bullet"/>
      <w:lvlText w:val=""/>
      <w:lvlJc w:val="left"/>
      <w:pPr>
        <w:ind w:left="5214" w:hanging="360"/>
      </w:pPr>
      <w:rPr>
        <w:rFonts w:ascii="Symbol" w:hAnsi="Symbol" w:hint="default"/>
      </w:rPr>
    </w:lvl>
    <w:lvl w:ilvl="4" w:tplc="0C090003">
      <w:start w:val="1"/>
      <w:numFmt w:val="bullet"/>
      <w:lvlText w:val="o"/>
      <w:lvlJc w:val="left"/>
      <w:pPr>
        <w:ind w:left="5934" w:hanging="360"/>
      </w:pPr>
      <w:rPr>
        <w:rFonts w:ascii="Courier New" w:hAnsi="Courier New" w:cs="Courier New" w:hint="default"/>
      </w:rPr>
    </w:lvl>
    <w:lvl w:ilvl="5" w:tplc="0C090005">
      <w:start w:val="1"/>
      <w:numFmt w:val="bullet"/>
      <w:lvlText w:val=""/>
      <w:lvlJc w:val="left"/>
      <w:pPr>
        <w:ind w:left="6654" w:hanging="360"/>
      </w:pPr>
      <w:rPr>
        <w:rFonts w:ascii="Wingdings" w:hAnsi="Wingdings" w:hint="default"/>
      </w:rPr>
    </w:lvl>
    <w:lvl w:ilvl="6" w:tplc="0C090001">
      <w:start w:val="1"/>
      <w:numFmt w:val="bullet"/>
      <w:lvlText w:val=""/>
      <w:lvlJc w:val="left"/>
      <w:pPr>
        <w:ind w:left="7374" w:hanging="360"/>
      </w:pPr>
      <w:rPr>
        <w:rFonts w:ascii="Symbol" w:hAnsi="Symbol" w:hint="default"/>
      </w:rPr>
    </w:lvl>
    <w:lvl w:ilvl="7" w:tplc="0C090003">
      <w:start w:val="1"/>
      <w:numFmt w:val="bullet"/>
      <w:lvlText w:val="o"/>
      <w:lvlJc w:val="left"/>
      <w:pPr>
        <w:ind w:left="8094" w:hanging="360"/>
      </w:pPr>
      <w:rPr>
        <w:rFonts w:ascii="Courier New" w:hAnsi="Courier New" w:cs="Courier New" w:hint="default"/>
      </w:rPr>
    </w:lvl>
    <w:lvl w:ilvl="8" w:tplc="0C090005">
      <w:start w:val="1"/>
      <w:numFmt w:val="bullet"/>
      <w:lvlText w:val=""/>
      <w:lvlJc w:val="left"/>
      <w:pPr>
        <w:ind w:left="8814" w:hanging="360"/>
      </w:pPr>
      <w:rPr>
        <w:rFonts w:ascii="Wingdings" w:hAnsi="Wingdings" w:hint="default"/>
      </w:rPr>
    </w:lvl>
  </w:abstractNum>
  <w:abstractNum w:abstractNumId="29" w15:restartNumberingAfterBreak="0">
    <w:nsid w:val="6B810425"/>
    <w:multiLevelType w:val="hybridMultilevel"/>
    <w:tmpl w:val="720241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25C99"/>
    <w:multiLevelType w:val="hybridMultilevel"/>
    <w:tmpl w:val="5F82574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4AC330F"/>
    <w:multiLevelType w:val="hybridMultilevel"/>
    <w:tmpl w:val="1286E420"/>
    <w:lvl w:ilvl="0" w:tplc="E4BA3C7C">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B42408"/>
    <w:multiLevelType w:val="hybridMultilevel"/>
    <w:tmpl w:val="ECDAE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9"/>
  </w:num>
  <w:num w:numId="5">
    <w:abstractNumId w:val="32"/>
  </w:num>
  <w:num w:numId="6">
    <w:abstractNumId w:val="17"/>
  </w:num>
  <w:num w:numId="7">
    <w:abstractNumId w:val="22"/>
  </w:num>
  <w:num w:numId="8">
    <w:abstractNumId w:val="18"/>
  </w:num>
  <w:num w:numId="9">
    <w:abstractNumId w:val="27"/>
  </w:num>
  <w:num w:numId="10">
    <w:abstractNumId w:val="1"/>
  </w:num>
  <w:num w:numId="11">
    <w:abstractNumId w:val="10"/>
  </w:num>
  <w:num w:numId="12">
    <w:abstractNumId w:val="14"/>
  </w:num>
  <w:num w:numId="13">
    <w:abstractNumId w:val="20"/>
  </w:num>
  <w:num w:numId="14">
    <w:abstractNumId w:val="26"/>
  </w:num>
  <w:num w:numId="15">
    <w:abstractNumId w:val="15"/>
  </w:num>
  <w:num w:numId="16">
    <w:abstractNumId w:val="31"/>
  </w:num>
  <w:num w:numId="17">
    <w:abstractNumId w:val="8"/>
  </w:num>
  <w:num w:numId="18">
    <w:abstractNumId w:val="30"/>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21"/>
  </w:num>
  <w:num w:numId="22">
    <w:abstractNumId w:val="7"/>
  </w:num>
  <w:num w:numId="23">
    <w:abstractNumId w:val="5"/>
  </w:num>
  <w:num w:numId="24">
    <w:abstractNumId w:val="29"/>
  </w:num>
  <w:num w:numId="25">
    <w:abstractNumId w:val="0"/>
  </w:num>
  <w:num w:numId="26">
    <w:abstractNumId w:val="2"/>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4"/>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B8"/>
    <w:rsid w:val="0001274C"/>
    <w:rsid w:val="00014AFC"/>
    <w:rsid w:val="00016646"/>
    <w:rsid w:val="0002242D"/>
    <w:rsid w:val="00027018"/>
    <w:rsid w:val="00032AF5"/>
    <w:rsid w:val="00040A35"/>
    <w:rsid w:val="00043389"/>
    <w:rsid w:val="0004379F"/>
    <w:rsid w:val="00057EA0"/>
    <w:rsid w:val="000645BC"/>
    <w:rsid w:val="0007654F"/>
    <w:rsid w:val="00082DCC"/>
    <w:rsid w:val="000849BF"/>
    <w:rsid w:val="000A0C72"/>
    <w:rsid w:val="000B587F"/>
    <w:rsid w:val="000C0ED8"/>
    <w:rsid w:val="000C0FFD"/>
    <w:rsid w:val="000C3487"/>
    <w:rsid w:val="000D1903"/>
    <w:rsid w:val="000D2246"/>
    <w:rsid w:val="000D7756"/>
    <w:rsid w:val="000E6A70"/>
    <w:rsid w:val="000F29C4"/>
    <w:rsid w:val="00101F2E"/>
    <w:rsid w:val="00103BEA"/>
    <w:rsid w:val="0011220B"/>
    <w:rsid w:val="00117E9A"/>
    <w:rsid w:val="001262EF"/>
    <w:rsid w:val="001269CE"/>
    <w:rsid w:val="00132F32"/>
    <w:rsid w:val="001373D9"/>
    <w:rsid w:val="0014257B"/>
    <w:rsid w:val="00143A73"/>
    <w:rsid w:val="00143EC2"/>
    <w:rsid w:val="00147F89"/>
    <w:rsid w:val="00152E48"/>
    <w:rsid w:val="00167E1C"/>
    <w:rsid w:val="00174E65"/>
    <w:rsid w:val="00192017"/>
    <w:rsid w:val="001A364F"/>
    <w:rsid w:val="001B3173"/>
    <w:rsid w:val="0020110B"/>
    <w:rsid w:val="00210509"/>
    <w:rsid w:val="00232DC7"/>
    <w:rsid w:val="002367F3"/>
    <w:rsid w:val="0024069F"/>
    <w:rsid w:val="002656B8"/>
    <w:rsid w:val="00270852"/>
    <w:rsid w:val="002A07E0"/>
    <w:rsid w:val="002B04D8"/>
    <w:rsid w:val="002B1F21"/>
    <w:rsid w:val="002B7C79"/>
    <w:rsid w:val="002E4716"/>
    <w:rsid w:val="002F23FB"/>
    <w:rsid w:val="002F5535"/>
    <w:rsid w:val="00312CEF"/>
    <w:rsid w:val="0031525A"/>
    <w:rsid w:val="00316909"/>
    <w:rsid w:val="00326490"/>
    <w:rsid w:val="00327D66"/>
    <w:rsid w:val="0033651A"/>
    <w:rsid w:val="00341444"/>
    <w:rsid w:val="00342F93"/>
    <w:rsid w:val="003431C1"/>
    <w:rsid w:val="003526B7"/>
    <w:rsid w:val="00363474"/>
    <w:rsid w:val="00384A6B"/>
    <w:rsid w:val="00384FB2"/>
    <w:rsid w:val="00391784"/>
    <w:rsid w:val="003A0602"/>
    <w:rsid w:val="003A498A"/>
    <w:rsid w:val="003C18C1"/>
    <w:rsid w:val="003D2553"/>
    <w:rsid w:val="003D5BE7"/>
    <w:rsid w:val="003D748C"/>
    <w:rsid w:val="003E58B1"/>
    <w:rsid w:val="003F16F5"/>
    <w:rsid w:val="003F44EC"/>
    <w:rsid w:val="00411FFA"/>
    <w:rsid w:val="00432FF0"/>
    <w:rsid w:val="004379F0"/>
    <w:rsid w:val="00441D89"/>
    <w:rsid w:val="00441EED"/>
    <w:rsid w:val="00442D66"/>
    <w:rsid w:val="0045261A"/>
    <w:rsid w:val="004664F8"/>
    <w:rsid w:val="00467030"/>
    <w:rsid w:val="0047196C"/>
    <w:rsid w:val="004972D0"/>
    <w:rsid w:val="004B691D"/>
    <w:rsid w:val="004C0889"/>
    <w:rsid w:val="004D1652"/>
    <w:rsid w:val="004E34DB"/>
    <w:rsid w:val="00504875"/>
    <w:rsid w:val="00511C09"/>
    <w:rsid w:val="00514FD5"/>
    <w:rsid w:val="005234C0"/>
    <w:rsid w:val="00530F79"/>
    <w:rsid w:val="005478E5"/>
    <w:rsid w:val="005530AD"/>
    <w:rsid w:val="0055364B"/>
    <w:rsid w:val="00563884"/>
    <w:rsid w:val="00564FAE"/>
    <w:rsid w:val="005674FF"/>
    <w:rsid w:val="005704A5"/>
    <w:rsid w:val="0057350D"/>
    <w:rsid w:val="0059513D"/>
    <w:rsid w:val="005B1414"/>
    <w:rsid w:val="005C01D3"/>
    <w:rsid w:val="005D154A"/>
    <w:rsid w:val="005D3D34"/>
    <w:rsid w:val="005E3078"/>
    <w:rsid w:val="005E653D"/>
    <w:rsid w:val="005F08E8"/>
    <w:rsid w:val="005F166B"/>
    <w:rsid w:val="00605241"/>
    <w:rsid w:val="006121B8"/>
    <w:rsid w:val="00613D60"/>
    <w:rsid w:val="00616068"/>
    <w:rsid w:val="00617E53"/>
    <w:rsid w:val="00622117"/>
    <w:rsid w:val="00632CD6"/>
    <w:rsid w:val="0064178B"/>
    <w:rsid w:val="006435F3"/>
    <w:rsid w:val="0064799D"/>
    <w:rsid w:val="00666AB0"/>
    <w:rsid w:val="00675BB1"/>
    <w:rsid w:val="0069347E"/>
    <w:rsid w:val="006B4C93"/>
    <w:rsid w:val="006C3141"/>
    <w:rsid w:val="006C3F7B"/>
    <w:rsid w:val="006C3FDA"/>
    <w:rsid w:val="006D57DF"/>
    <w:rsid w:val="006E0B39"/>
    <w:rsid w:val="006F169B"/>
    <w:rsid w:val="006F5242"/>
    <w:rsid w:val="00711229"/>
    <w:rsid w:val="00711D8C"/>
    <w:rsid w:val="0072051D"/>
    <w:rsid w:val="00720FE5"/>
    <w:rsid w:val="0072232F"/>
    <w:rsid w:val="007232E8"/>
    <w:rsid w:val="007377D4"/>
    <w:rsid w:val="00741C79"/>
    <w:rsid w:val="007602A6"/>
    <w:rsid w:val="007949A8"/>
    <w:rsid w:val="00794AA5"/>
    <w:rsid w:val="00797F85"/>
    <w:rsid w:val="007A6697"/>
    <w:rsid w:val="007B2621"/>
    <w:rsid w:val="007B2AAB"/>
    <w:rsid w:val="007C21C3"/>
    <w:rsid w:val="007C2A8F"/>
    <w:rsid w:val="007C477F"/>
    <w:rsid w:val="007D0C12"/>
    <w:rsid w:val="007E4346"/>
    <w:rsid w:val="007E57DA"/>
    <w:rsid w:val="007F2A68"/>
    <w:rsid w:val="00801E1F"/>
    <w:rsid w:val="00805880"/>
    <w:rsid w:val="00806EDC"/>
    <w:rsid w:val="00810887"/>
    <w:rsid w:val="00821C5B"/>
    <w:rsid w:val="008240A4"/>
    <w:rsid w:val="00825530"/>
    <w:rsid w:val="00832792"/>
    <w:rsid w:val="008651B4"/>
    <w:rsid w:val="00870D02"/>
    <w:rsid w:val="008735FE"/>
    <w:rsid w:val="00873D90"/>
    <w:rsid w:val="00874B31"/>
    <w:rsid w:val="00886CCD"/>
    <w:rsid w:val="008A1E08"/>
    <w:rsid w:val="008B15CE"/>
    <w:rsid w:val="008B299F"/>
    <w:rsid w:val="008E3717"/>
    <w:rsid w:val="008E3E6C"/>
    <w:rsid w:val="008E51A9"/>
    <w:rsid w:val="008E54C5"/>
    <w:rsid w:val="008E664B"/>
    <w:rsid w:val="008F1D26"/>
    <w:rsid w:val="008F41C7"/>
    <w:rsid w:val="0091398C"/>
    <w:rsid w:val="00916ED7"/>
    <w:rsid w:val="00922C75"/>
    <w:rsid w:val="0093049A"/>
    <w:rsid w:val="00935FEC"/>
    <w:rsid w:val="00946FDC"/>
    <w:rsid w:val="00963E08"/>
    <w:rsid w:val="00970D36"/>
    <w:rsid w:val="009725F7"/>
    <w:rsid w:val="00974B9F"/>
    <w:rsid w:val="009842E6"/>
    <w:rsid w:val="009C00D2"/>
    <w:rsid w:val="009D5EE7"/>
    <w:rsid w:val="009F3FBE"/>
    <w:rsid w:val="00A0484A"/>
    <w:rsid w:val="00A04E09"/>
    <w:rsid w:val="00A1010A"/>
    <w:rsid w:val="00A35538"/>
    <w:rsid w:val="00A40604"/>
    <w:rsid w:val="00A42EE0"/>
    <w:rsid w:val="00A44693"/>
    <w:rsid w:val="00A51DB8"/>
    <w:rsid w:val="00A53977"/>
    <w:rsid w:val="00A608FC"/>
    <w:rsid w:val="00A63D4D"/>
    <w:rsid w:val="00A750F8"/>
    <w:rsid w:val="00A85E7D"/>
    <w:rsid w:val="00AB075E"/>
    <w:rsid w:val="00AB39C2"/>
    <w:rsid w:val="00AC016C"/>
    <w:rsid w:val="00AC3952"/>
    <w:rsid w:val="00AC5DAB"/>
    <w:rsid w:val="00AF0E07"/>
    <w:rsid w:val="00B03AF9"/>
    <w:rsid w:val="00B149AC"/>
    <w:rsid w:val="00B25178"/>
    <w:rsid w:val="00B3039D"/>
    <w:rsid w:val="00B34B5A"/>
    <w:rsid w:val="00B41CF0"/>
    <w:rsid w:val="00B427A8"/>
    <w:rsid w:val="00B46544"/>
    <w:rsid w:val="00B539BA"/>
    <w:rsid w:val="00B57B0B"/>
    <w:rsid w:val="00B6591F"/>
    <w:rsid w:val="00B70F30"/>
    <w:rsid w:val="00B73CDD"/>
    <w:rsid w:val="00B7695F"/>
    <w:rsid w:val="00B7732A"/>
    <w:rsid w:val="00B81F93"/>
    <w:rsid w:val="00B8793F"/>
    <w:rsid w:val="00B87EA6"/>
    <w:rsid w:val="00B905CB"/>
    <w:rsid w:val="00B9262A"/>
    <w:rsid w:val="00B94B08"/>
    <w:rsid w:val="00BA19B5"/>
    <w:rsid w:val="00BA632D"/>
    <w:rsid w:val="00BA7425"/>
    <w:rsid w:val="00BB36DE"/>
    <w:rsid w:val="00BC7F95"/>
    <w:rsid w:val="00BD191E"/>
    <w:rsid w:val="00C16383"/>
    <w:rsid w:val="00C23650"/>
    <w:rsid w:val="00C307EE"/>
    <w:rsid w:val="00C312FB"/>
    <w:rsid w:val="00C371C2"/>
    <w:rsid w:val="00C40180"/>
    <w:rsid w:val="00C419CF"/>
    <w:rsid w:val="00C43B59"/>
    <w:rsid w:val="00C45038"/>
    <w:rsid w:val="00C47F87"/>
    <w:rsid w:val="00C541B2"/>
    <w:rsid w:val="00C64E84"/>
    <w:rsid w:val="00C6531A"/>
    <w:rsid w:val="00C65542"/>
    <w:rsid w:val="00C6642B"/>
    <w:rsid w:val="00C73E42"/>
    <w:rsid w:val="00C80D3F"/>
    <w:rsid w:val="00C9700C"/>
    <w:rsid w:val="00CA050D"/>
    <w:rsid w:val="00CA22C7"/>
    <w:rsid w:val="00CB540A"/>
    <w:rsid w:val="00CC33A7"/>
    <w:rsid w:val="00CC4052"/>
    <w:rsid w:val="00CC44FE"/>
    <w:rsid w:val="00CD7A5E"/>
    <w:rsid w:val="00CE33FC"/>
    <w:rsid w:val="00CE6A61"/>
    <w:rsid w:val="00CF13D8"/>
    <w:rsid w:val="00D1083B"/>
    <w:rsid w:val="00D1310E"/>
    <w:rsid w:val="00D261E4"/>
    <w:rsid w:val="00D3156A"/>
    <w:rsid w:val="00D31C9E"/>
    <w:rsid w:val="00D63D04"/>
    <w:rsid w:val="00D63D9A"/>
    <w:rsid w:val="00D64ADC"/>
    <w:rsid w:val="00D75582"/>
    <w:rsid w:val="00D866B2"/>
    <w:rsid w:val="00D92DDC"/>
    <w:rsid w:val="00D9480B"/>
    <w:rsid w:val="00D97926"/>
    <w:rsid w:val="00D97E58"/>
    <w:rsid w:val="00DA09D1"/>
    <w:rsid w:val="00DA5383"/>
    <w:rsid w:val="00DB4071"/>
    <w:rsid w:val="00DB7C15"/>
    <w:rsid w:val="00DC4EE1"/>
    <w:rsid w:val="00DD79E9"/>
    <w:rsid w:val="00DE4447"/>
    <w:rsid w:val="00DF3B54"/>
    <w:rsid w:val="00E032A0"/>
    <w:rsid w:val="00E17271"/>
    <w:rsid w:val="00E235CC"/>
    <w:rsid w:val="00E26C30"/>
    <w:rsid w:val="00E30FAD"/>
    <w:rsid w:val="00E327C9"/>
    <w:rsid w:val="00E44C8F"/>
    <w:rsid w:val="00E50539"/>
    <w:rsid w:val="00E53C8A"/>
    <w:rsid w:val="00E54AD2"/>
    <w:rsid w:val="00E563AD"/>
    <w:rsid w:val="00E629C4"/>
    <w:rsid w:val="00E7053E"/>
    <w:rsid w:val="00E72156"/>
    <w:rsid w:val="00E75E74"/>
    <w:rsid w:val="00E8601D"/>
    <w:rsid w:val="00E87A57"/>
    <w:rsid w:val="00E90369"/>
    <w:rsid w:val="00E96D35"/>
    <w:rsid w:val="00E97496"/>
    <w:rsid w:val="00E97575"/>
    <w:rsid w:val="00EA0F38"/>
    <w:rsid w:val="00EB36E0"/>
    <w:rsid w:val="00EB4445"/>
    <w:rsid w:val="00EB7246"/>
    <w:rsid w:val="00EC29A5"/>
    <w:rsid w:val="00EC341F"/>
    <w:rsid w:val="00EC483B"/>
    <w:rsid w:val="00EC50A2"/>
    <w:rsid w:val="00EC654E"/>
    <w:rsid w:val="00ED44CA"/>
    <w:rsid w:val="00ED4F53"/>
    <w:rsid w:val="00EF0A2D"/>
    <w:rsid w:val="00EF57CA"/>
    <w:rsid w:val="00EF6344"/>
    <w:rsid w:val="00F0592D"/>
    <w:rsid w:val="00F12489"/>
    <w:rsid w:val="00F156B6"/>
    <w:rsid w:val="00F322D0"/>
    <w:rsid w:val="00F366AF"/>
    <w:rsid w:val="00F376C5"/>
    <w:rsid w:val="00F5741A"/>
    <w:rsid w:val="00F6295D"/>
    <w:rsid w:val="00F62A7F"/>
    <w:rsid w:val="00F659B8"/>
    <w:rsid w:val="00F65DD7"/>
    <w:rsid w:val="00F65F10"/>
    <w:rsid w:val="00F6659D"/>
    <w:rsid w:val="00F707A4"/>
    <w:rsid w:val="00F76C49"/>
    <w:rsid w:val="00F8252E"/>
    <w:rsid w:val="00F8266F"/>
    <w:rsid w:val="00F82E2D"/>
    <w:rsid w:val="00FA443A"/>
    <w:rsid w:val="00FA5C82"/>
    <w:rsid w:val="00FA7FA6"/>
    <w:rsid w:val="00FC3BBD"/>
    <w:rsid w:val="00FE65DF"/>
    <w:rsid w:val="00FF3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E23CD5C4-2A86-4B89-B7AE-AD31BDA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1"/>
    <w:qFormat/>
    <w:rsid w:val="00D63D04"/>
    <w:pPr>
      <w:keepNext/>
      <w:keepLines/>
      <w:spacing w:before="240" w:after="90" w:line="320" w:lineRule="atLeast"/>
      <w:outlineLvl w:val="1"/>
    </w:pPr>
    <w:rPr>
      <w:rFonts w:ascii="Arial" w:eastAsia="Times New Roman" w:hAnsi="Arial" w:cs="Times New Roman"/>
      <w:b/>
      <w:color w:val="006F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E6C"/>
  </w:style>
  <w:style w:type="paragraph" w:styleId="Footer">
    <w:name w:val="footer"/>
    <w:basedOn w:val="Normal"/>
    <w:link w:val="FooterChar"/>
    <w:uiPriority w:val="99"/>
    <w:unhideWhenUsed/>
    <w:rsid w:val="008E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6C"/>
  </w:style>
  <w:style w:type="paragraph" w:styleId="ListParagraph">
    <w:name w:val="List Paragraph"/>
    <w:basedOn w:val="Normal"/>
    <w:uiPriority w:val="34"/>
    <w:qFormat/>
    <w:rsid w:val="00A44693"/>
    <w:pPr>
      <w:ind w:left="720"/>
      <w:contextualSpacing/>
    </w:pPr>
  </w:style>
  <w:style w:type="character" w:styleId="CommentReference">
    <w:name w:val="annotation reference"/>
    <w:basedOn w:val="DefaultParagraphFont"/>
    <w:uiPriority w:val="99"/>
    <w:semiHidden/>
    <w:unhideWhenUsed/>
    <w:rsid w:val="00874B31"/>
    <w:rPr>
      <w:sz w:val="16"/>
      <w:szCs w:val="16"/>
    </w:rPr>
  </w:style>
  <w:style w:type="paragraph" w:styleId="CommentText">
    <w:name w:val="annotation text"/>
    <w:basedOn w:val="Normal"/>
    <w:link w:val="CommentTextChar"/>
    <w:uiPriority w:val="99"/>
    <w:semiHidden/>
    <w:unhideWhenUsed/>
    <w:rsid w:val="00874B31"/>
    <w:pPr>
      <w:spacing w:line="240" w:lineRule="auto"/>
    </w:pPr>
    <w:rPr>
      <w:sz w:val="20"/>
      <w:szCs w:val="20"/>
    </w:rPr>
  </w:style>
  <w:style w:type="character" w:customStyle="1" w:styleId="CommentTextChar">
    <w:name w:val="Comment Text Char"/>
    <w:basedOn w:val="DefaultParagraphFont"/>
    <w:link w:val="CommentText"/>
    <w:uiPriority w:val="99"/>
    <w:semiHidden/>
    <w:rsid w:val="00874B31"/>
    <w:rPr>
      <w:sz w:val="20"/>
      <w:szCs w:val="20"/>
    </w:rPr>
  </w:style>
  <w:style w:type="paragraph" w:styleId="CommentSubject">
    <w:name w:val="annotation subject"/>
    <w:basedOn w:val="CommentText"/>
    <w:next w:val="CommentText"/>
    <w:link w:val="CommentSubjectChar"/>
    <w:uiPriority w:val="99"/>
    <w:semiHidden/>
    <w:unhideWhenUsed/>
    <w:rsid w:val="00874B31"/>
    <w:rPr>
      <w:b/>
      <w:bCs/>
    </w:rPr>
  </w:style>
  <w:style w:type="character" w:customStyle="1" w:styleId="CommentSubjectChar">
    <w:name w:val="Comment Subject Char"/>
    <w:basedOn w:val="CommentTextChar"/>
    <w:link w:val="CommentSubject"/>
    <w:uiPriority w:val="99"/>
    <w:semiHidden/>
    <w:rsid w:val="00874B31"/>
    <w:rPr>
      <w:b/>
      <w:bCs/>
      <w:sz w:val="20"/>
      <w:szCs w:val="20"/>
    </w:rPr>
  </w:style>
  <w:style w:type="paragraph" w:styleId="BalloonText">
    <w:name w:val="Balloon Text"/>
    <w:basedOn w:val="Normal"/>
    <w:link w:val="BalloonTextChar"/>
    <w:uiPriority w:val="99"/>
    <w:semiHidden/>
    <w:unhideWhenUsed/>
    <w:rsid w:val="00874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31"/>
    <w:rPr>
      <w:rFonts w:ascii="Segoe UI" w:hAnsi="Segoe UI" w:cs="Segoe UI"/>
      <w:sz w:val="18"/>
      <w:szCs w:val="18"/>
    </w:rPr>
  </w:style>
  <w:style w:type="character" w:customStyle="1" w:styleId="Heading2Char">
    <w:name w:val="Heading 2 Char"/>
    <w:basedOn w:val="DefaultParagraphFont"/>
    <w:link w:val="Heading2"/>
    <w:uiPriority w:val="1"/>
    <w:rsid w:val="00D63D04"/>
    <w:rPr>
      <w:rFonts w:ascii="Arial" w:eastAsia="Times New Roman" w:hAnsi="Arial" w:cs="Times New Roman"/>
      <w:b/>
      <w:color w:val="006FB7"/>
      <w:sz w:val="28"/>
      <w:szCs w:val="28"/>
    </w:rPr>
  </w:style>
  <w:style w:type="paragraph" w:customStyle="1" w:styleId="DHHSbullet1">
    <w:name w:val="DHHS bullet 1"/>
    <w:basedOn w:val="Normal"/>
    <w:qFormat/>
    <w:rsid w:val="00D63D04"/>
    <w:pPr>
      <w:numPr>
        <w:numId w:val="6"/>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63D04"/>
    <w:pPr>
      <w:numPr>
        <w:ilvl w:val="2"/>
        <w:numId w:val="6"/>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63D04"/>
    <w:pPr>
      <w:numPr>
        <w:ilvl w:val="1"/>
      </w:numPr>
      <w:spacing w:after="120"/>
    </w:pPr>
  </w:style>
  <w:style w:type="paragraph" w:customStyle="1" w:styleId="DHHSbullet2lastline">
    <w:name w:val="DHHS bullet 2 last line"/>
    <w:basedOn w:val="DHHSbullet2"/>
    <w:uiPriority w:val="2"/>
    <w:qFormat/>
    <w:rsid w:val="00D63D04"/>
    <w:pPr>
      <w:numPr>
        <w:ilvl w:val="3"/>
      </w:numPr>
      <w:spacing w:after="120"/>
    </w:pPr>
  </w:style>
  <w:style w:type="paragraph" w:customStyle="1" w:styleId="DHHStablebullet">
    <w:name w:val="DHHS table bullet"/>
    <w:basedOn w:val="Normal"/>
    <w:uiPriority w:val="3"/>
    <w:qFormat/>
    <w:rsid w:val="00D63D04"/>
    <w:pPr>
      <w:numPr>
        <w:ilvl w:val="6"/>
        <w:numId w:val="6"/>
      </w:numPr>
      <w:spacing w:before="80" w:after="60" w:line="240" w:lineRule="auto"/>
    </w:pPr>
    <w:rPr>
      <w:rFonts w:ascii="Arial" w:eastAsia="Times New Roman" w:hAnsi="Arial" w:cs="Times New Roman"/>
      <w:sz w:val="20"/>
      <w:szCs w:val="20"/>
    </w:rPr>
  </w:style>
  <w:style w:type="numbering" w:customStyle="1" w:styleId="Bullets">
    <w:name w:val="Bullets"/>
    <w:rsid w:val="00D63D04"/>
    <w:pPr>
      <w:numPr>
        <w:numId w:val="6"/>
      </w:numPr>
    </w:pPr>
  </w:style>
  <w:style w:type="paragraph" w:customStyle="1" w:styleId="DHHSbulletindent">
    <w:name w:val="DHHS bullet indent"/>
    <w:basedOn w:val="Normal"/>
    <w:uiPriority w:val="4"/>
    <w:rsid w:val="00D63D04"/>
    <w:pPr>
      <w:numPr>
        <w:ilvl w:val="4"/>
        <w:numId w:val="6"/>
      </w:numPr>
      <w:spacing w:after="40" w:line="270" w:lineRule="atLeast"/>
    </w:pPr>
    <w:rPr>
      <w:rFonts w:ascii="Arial" w:eastAsia="Times" w:hAnsi="Arial" w:cs="Times New Roman"/>
      <w:sz w:val="20"/>
      <w:szCs w:val="20"/>
    </w:rPr>
  </w:style>
  <w:style w:type="paragraph" w:customStyle="1" w:styleId="DHHSbulletindentlastline">
    <w:name w:val="DHHS bullet indent last line"/>
    <w:basedOn w:val="Normal"/>
    <w:uiPriority w:val="4"/>
    <w:rsid w:val="00D63D04"/>
    <w:pPr>
      <w:numPr>
        <w:ilvl w:val="5"/>
        <w:numId w:val="6"/>
      </w:numPr>
      <w:spacing w:after="120" w:line="270" w:lineRule="atLeast"/>
    </w:pPr>
    <w:rPr>
      <w:rFonts w:ascii="Arial" w:eastAsia="Times" w:hAnsi="Arial" w:cs="Times New Roman"/>
      <w:sz w:val="20"/>
      <w:szCs w:val="20"/>
    </w:rPr>
  </w:style>
  <w:style w:type="table" w:styleId="TableGrid">
    <w:name w:val="Table Grid"/>
    <w:basedOn w:val="TableNormal"/>
    <w:uiPriority w:val="39"/>
    <w:rsid w:val="0047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509"/>
    <w:rPr>
      <w:color w:val="0563C1" w:themeColor="hyperlink"/>
      <w:u w:val="single"/>
    </w:rPr>
  </w:style>
  <w:style w:type="paragraph" w:styleId="NormalWeb">
    <w:name w:val="Normal (Web)"/>
    <w:basedOn w:val="Normal"/>
    <w:uiPriority w:val="99"/>
    <w:semiHidden/>
    <w:unhideWhenUsed/>
    <w:rsid w:val="001373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HHSbodyChar">
    <w:name w:val="DHHS body Char"/>
    <w:link w:val="DHHSbody"/>
    <w:locked/>
    <w:rsid w:val="0064178B"/>
    <w:rPr>
      <w:rFonts w:ascii="Arial" w:eastAsia="Times" w:hAnsi="Arial" w:cs="Arial"/>
    </w:rPr>
  </w:style>
  <w:style w:type="paragraph" w:customStyle="1" w:styleId="DHHSbody">
    <w:name w:val="DHHS body"/>
    <w:link w:val="DHHSbodyChar"/>
    <w:qFormat/>
    <w:rsid w:val="0064178B"/>
    <w:pPr>
      <w:spacing w:after="120" w:line="270" w:lineRule="atLeast"/>
    </w:pPr>
    <w:rPr>
      <w:rFonts w:ascii="Arial" w:eastAsia="Times" w:hAnsi="Arial" w:cs="Arial"/>
    </w:rPr>
  </w:style>
  <w:style w:type="character" w:styleId="FollowedHyperlink">
    <w:name w:val="FollowedHyperlink"/>
    <w:basedOn w:val="DefaultParagraphFont"/>
    <w:uiPriority w:val="99"/>
    <w:semiHidden/>
    <w:unhideWhenUsed/>
    <w:rsid w:val="003D2553"/>
    <w:rPr>
      <w:color w:val="954F72" w:themeColor="followedHyperlink"/>
      <w:u w:val="single"/>
    </w:rPr>
  </w:style>
  <w:style w:type="character" w:customStyle="1" w:styleId="Heading1Char">
    <w:name w:val="Heading 1 Char"/>
    <w:basedOn w:val="DefaultParagraphFont"/>
    <w:link w:val="Heading1"/>
    <w:uiPriority w:val="9"/>
    <w:rsid w:val="00441E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16124">
      <w:bodyDiv w:val="1"/>
      <w:marLeft w:val="0"/>
      <w:marRight w:val="0"/>
      <w:marTop w:val="0"/>
      <w:marBottom w:val="0"/>
      <w:divBdr>
        <w:top w:val="none" w:sz="0" w:space="0" w:color="auto"/>
        <w:left w:val="none" w:sz="0" w:space="0" w:color="auto"/>
        <w:bottom w:val="none" w:sz="0" w:space="0" w:color="auto"/>
        <w:right w:val="none" w:sz="0" w:space="0" w:color="auto"/>
      </w:divBdr>
    </w:div>
    <w:div w:id="809783694">
      <w:bodyDiv w:val="1"/>
      <w:marLeft w:val="0"/>
      <w:marRight w:val="0"/>
      <w:marTop w:val="0"/>
      <w:marBottom w:val="0"/>
      <w:divBdr>
        <w:top w:val="none" w:sz="0" w:space="0" w:color="auto"/>
        <w:left w:val="none" w:sz="0" w:space="0" w:color="auto"/>
        <w:bottom w:val="none" w:sz="0" w:space="0" w:color="auto"/>
        <w:right w:val="none" w:sz="0" w:space="0" w:color="auto"/>
      </w:divBdr>
    </w:div>
    <w:div w:id="985400713">
      <w:bodyDiv w:val="1"/>
      <w:marLeft w:val="0"/>
      <w:marRight w:val="0"/>
      <w:marTop w:val="0"/>
      <w:marBottom w:val="0"/>
      <w:divBdr>
        <w:top w:val="none" w:sz="0" w:space="0" w:color="auto"/>
        <w:left w:val="none" w:sz="0" w:space="0" w:color="auto"/>
        <w:bottom w:val="none" w:sz="0" w:space="0" w:color="auto"/>
        <w:right w:val="none" w:sz="0" w:space="0" w:color="auto"/>
      </w:divBdr>
    </w:div>
    <w:div w:id="1049888230">
      <w:bodyDiv w:val="1"/>
      <w:marLeft w:val="0"/>
      <w:marRight w:val="0"/>
      <w:marTop w:val="0"/>
      <w:marBottom w:val="0"/>
      <w:divBdr>
        <w:top w:val="none" w:sz="0" w:space="0" w:color="auto"/>
        <w:left w:val="none" w:sz="0" w:space="0" w:color="auto"/>
        <w:bottom w:val="none" w:sz="0" w:space="0" w:color="auto"/>
        <w:right w:val="none" w:sz="0" w:space="0" w:color="auto"/>
      </w:divBdr>
    </w:div>
    <w:div w:id="13995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vm1fs01.anglicare.local\Frankston\Manager\Flexible%20Packages%20BPA\DHHS%20Policies%20-%20current\AAProgram%20requirements%20for%20early%20parenting,%20family%20and%20placement%20prevention%20services%20in%20Victoria_August%202021%20(1).docx" TargetMode="External"/><Relationship Id="rId13" Type="http://schemas.openxmlformats.org/officeDocument/2006/relationships/hyperlink" Target="https://www.carergateway.gov.au/about/person-phone-counselling" TargetMode="External"/><Relationship Id="rId18" Type="http://schemas.openxmlformats.org/officeDocument/2006/relationships/hyperlink" Target="https://www.education.vic.gov.au/about/programs/Pages/csef.aspx" TargetMode="External"/><Relationship Id="rId26" Type="http://schemas.openxmlformats.org/officeDocument/2006/relationships/hyperlink" Target="http://www.bsl.org.au" TargetMode="External"/><Relationship Id="rId3" Type="http://schemas.openxmlformats.org/officeDocument/2006/relationships/settings" Target="settings.xml"/><Relationship Id="rId21" Type="http://schemas.openxmlformats.org/officeDocument/2006/relationships/hyperlink" Target="https://southsafe.com.au/funding/escaping-violence-progra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arergateway.gov.au/tailored-support-packages" TargetMode="External"/><Relationship Id="rId17" Type="http://schemas.openxmlformats.org/officeDocument/2006/relationships/hyperlink" Target="https://www.carergateway.gov.au/" TargetMode="External"/><Relationship Id="rId25" Type="http://schemas.openxmlformats.org/officeDocument/2006/relationships/hyperlink" Target="https://www.nab.com.au/about-us/social-impact/customers/domestic-and-family-violence/experiencing-domestic-violence" TargetMode="External"/><Relationship Id="rId33" Type="http://schemas.openxmlformats.org/officeDocument/2006/relationships/hyperlink" Target="https://www.vocat.vic.gov.au/" TargetMode="External"/><Relationship Id="rId2" Type="http://schemas.openxmlformats.org/officeDocument/2006/relationships/styles" Target="styles.xml"/><Relationship Id="rId16" Type="http://schemas.openxmlformats.org/officeDocument/2006/relationships/hyperlink" Target="https://www.carergateway.gov.au/respite" TargetMode="External"/><Relationship Id="rId20" Type="http://schemas.openxmlformats.org/officeDocument/2006/relationships/hyperlink" Target="https://www.commbank.com.au/support/dv-assistance.html" TargetMode="External"/><Relationship Id="rId29" Type="http://schemas.openxmlformats.org/officeDocument/2006/relationships/hyperlink" Target="https://www.stkildamum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rgateway.gov.au/about/peer-support-groups" TargetMode="External"/><Relationship Id="rId24" Type="http://schemas.openxmlformats.org/officeDocument/2006/relationships/hyperlink" Target="https://www.msfin.org.au/" TargetMode="External"/><Relationship Id="rId32" Type="http://schemas.openxmlformats.org/officeDocument/2006/relationships/hyperlink" Target="https://www.queensfund.org.au/howtoapply" TargetMode="External"/><Relationship Id="rId5" Type="http://schemas.openxmlformats.org/officeDocument/2006/relationships/footnotes" Target="footnotes.xml"/><Relationship Id="rId15" Type="http://schemas.openxmlformats.org/officeDocument/2006/relationships/hyperlink" Target="https://skills.carergateway.gov.au/" TargetMode="External"/><Relationship Id="rId23" Type="http://schemas.openxmlformats.org/officeDocument/2006/relationships/hyperlink" Target="http://www.goodshepherdmicrofinance.org.au" TargetMode="External"/><Relationship Id="rId28" Type="http://schemas.openxmlformats.org/officeDocument/2006/relationships/hyperlink" Target="http://www.ssr.net.au/schools" TargetMode="External"/><Relationship Id="rId36" Type="http://schemas.openxmlformats.org/officeDocument/2006/relationships/theme" Target="theme/theme1.xml"/><Relationship Id="rId10" Type="http://schemas.openxmlformats.org/officeDocument/2006/relationships/hyperlink" Target="http://www.akc.org.au" TargetMode="External"/><Relationship Id="rId19" Type="http://schemas.openxmlformats.org/officeDocument/2006/relationships/hyperlink" Target="http://www.frankston.net/" TargetMode="External"/><Relationship Id="rId31" Type="http://schemas.openxmlformats.org/officeDocument/2006/relationships/hyperlink" Target="http://www.thesmithfamily.com.au" TargetMode="External"/><Relationship Id="rId4" Type="http://schemas.openxmlformats.org/officeDocument/2006/relationships/webSettings" Target="webSettings.xml"/><Relationship Id="rId9" Type="http://schemas.openxmlformats.org/officeDocument/2006/relationships/hyperlink" Target="mailto:fsalliance.bpa@anglicarevic.org.au" TargetMode="External"/><Relationship Id="rId14" Type="http://schemas.openxmlformats.org/officeDocument/2006/relationships/hyperlink" Target="https://coaching.carergateway.gov.au/" TargetMode="External"/><Relationship Id="rId22" Type="http://schemas.openxmlformats.org/officeDocument/2006/relationships/hyperlink" Target="https://southsafe.com.au/bayside-peninsula-flexible-support-packages/" TargetMode="External"/><Relationship Id="rId27" Type="http://schemas.openxmlformats.org/officeDocument/2006/relationships/hyperlink" Target="http://statewidechildrenresourceprogram.weebly.com/" TargetMode="External"/><Relationship Id="rId30" Type="http://schemas.openxmlformats.org/officeDocument/2006/relationships/hyperlink" Target="http://www.vinnies.org.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Belyea</dc:creator>
  <cp:keywords/>
  <dc:description/>
  <cp:lastModifiedBy>Sasha Lilford</cp:lastModifiedBy>
  <cp:revision>2</cp:revision>
  <cp:lastPrinted>2021-09-17T00:11:00Z</cp:lastPrinted>
  <dcterms:created xsi:type="dcterms:W3CDTF">2022-03-23T04:42:00Z</dcterms:created>
  <dcterms:modified xsi:type="dcterms:W3CDTF">2022-03-23T04:42:00Z</dcterms:modified>
</cp:coreProperties>
</file>